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06" w:rsidRDefault="00B11195" w:rsidP="00B11195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4BACC21" wp14:editId="6D35F2FD">
            <wp:extent cx="390525" cy="495300"/>
            <wp:effectExtent l="19050" t="0" r="9525" b="0"/>
            <wp:docPr id="33" name="Рисунок 3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D06" w:rsidRPr="0093631D" w:rsidRDefault="00D47D06" w:rsidP="00D47D06">
      <w:pPr>
        <w:ind w:firstLine="851"/>
        <w:jc w:val="center"/>
        <w:rPr>
          <w:lang w:val="uk-UA"/>
        </w:rPr>
      </w:pPr>
    </w:p>
    <w:p w:rsidR="00D47D06" w:rsidRPr="00236DB3" w:rsidRDefault="00D47D06" w:rsidP="00D47D06">
      <w:pPr>
        <w:jc w:val="center"/>
        <w:rPr>
          <w:sz w:val="28"/>
          <w:szCs w:val="28"/>
          <w:lang w:val="uk-UA"/>
        </w:rPr>
      </w:pPr>
      <w:r w:rsidRPr="00236DB3">
        <w:rPr>
          <w:sz w:val="28"/>
          <w:szCs w:val="28"/>
          <w:lang w:val="uk-UA"/>
        </w:rPr>
        <w:t>ОРДЖОНІКІДЗЕВСЬКИЙ  РАЙОННИЙ  СУД  МІСТА  ХАРКОВА</w:t>
      </w:r>
    </w:p>
    <w:p w:rsidR="00D47D06" w:rsidRPr="00236DB3" w:rsidRDefault="00D47D06" w:rsidP="00D47D06">
      <w:pPr>
        <w:widowControl/>
        <w:suppressAutoHyphens w:val="0"/>
        <w:jc w:val="center"/>
        <w:rPr>
          <w:rFonts w:eastAsia="Times New Roman"/>
          <w:sz w:val="22"/>
          <w:szCs w:val="22"/>
          <w:lang w:val="uk-UA"/>
        </w:rPr>
      </w:pPr>
      <w:r w:rsidRPr="00236DB3">
        <w:rPr>
          <w:rFonts w:eastAsia="Times New Roman"/>
          <w:sz w:val="22"/>
          <w:szCs w:val="22"/>
          <w:lang w:val="uk-UA"/>
        </w:rPr>
        <w:t xml:space="preserve">ідентифікаційний код 02894094, індекс </w:t>
      </w:r>
      <w:smartTag w:uri="urn:schemas-microsoft-com:office:smarttags" w:element="metricconverter">
        <w:smartTagPr>
          <w:attr w:name="ProductID" w:val="61007, м"/>
        </w:smartTagPr>
        <w:r w:rsidRPr="00236DB3">
          <w:rPr>
            <w:rFonts w:eastAsia="Times New Roman"/>
            <w:sz w:val="22"/>
            <w:szCs w:val="22"/>
            <w:lang w:val="uk-UA"/>
          </w:rPr>
          <w:t>61007, м</w:t>
        </w:r>
      </w:smartTag>
      <w:r w:rsidRPr="00236DB3">
        <w:rPr>
          <w:rFonts w:eastAsia="Times New Roman"/>
          <w:sz w:val="22"/>
          <w:szCs w:val="22"/>
          <w:lang w:val="uk-UA"/>
        </w:rPr>
        <w:t xml:space="preserve">. Харків, проспект </w:t>
      </w:r>
      <w:r w:rsidRPr="003F540D">
        <w:rPr>
          <w:rFonts w:eastAsia="Times New Roman"/>
          <w:sz w:val="22"/>
          <w:szCs w:val="22"/>
          <w:lang w:val="uk-UA"/>
        </w:rPr>
        <w:t>Архітектора Альошина</w:t>
      </w:r>
      <w:r w:rsidRPr="00236DB3">
        <w:rPr>
          <w:rFonts w:eastAsia="Times New Roman"/>
          <w:sz w:val="22"/>
          <w:szCs w:val="22"/>
          <w:lang w:val="uk-UA"/>
        </w:rPr>
        <w:t>, 7,</w:t>
      </w:r>
    </w:p>
    <w:p w:rsidR="00D47D06" w:rsidRPr="00236DB3" w:rsidRDefault="00D47D06" w:rsidP="00D47D06">
      <w:pPr>
        <w:widowControl/>
        <w:suppressAutoHyphens w:val="0"/>
        <w:jc w:val="center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>телефон/факс (057</w:t>
      </w:r>
      <w:r w:rsidRPr="00236DB3">
        <w:rPr>
          <w:rFonts w:eastAsia="Times New Roman"/>
          <w:sz w:val="22"/>
          <w:szCs w:val="22"/>
          <w:lang w:val="uk-UA"/>
        </w:rPr>
        <w:t>)</w:t>
      </w:r>
      <w:r>
        <w:rPr>
          <w:rFonts w:eastAsia="Times New Roman"/>
          <w:sz w:val="22"/>
          <w:szCs w:val="22"/>
          <w:lang w:val="uk-UA"/>
        </w:rPr>
        <w:t>3</w:t>
      </w:r>
      <w:r w:rsidRPr="00236DB3">
        <w:rPr>
          <w:rFonts w:eastAsia="Times New Roman"/>
          <w:sz w:val="22"/>
          <w:szCs w:val="22"/>
          <w:lang w:val="uk-UA"/>
        </w:rPr>
        <w:t>93-</w:t>
      </w:r>
      <w:r>
        <w:rPr>
          <w:rFonts w:eastAsia="Times New Roman"/>
          <w:sz w:val="22"/>
          <w:szCs w:val="22"/>
          <w:lang w:val="uk-UA"/>
        </w:rPr>
        <w:t>14</w:t>
      </w:r>
      <w:r w:rsidRPr="00236DB3">
        <w:rPr>
          <w:rFonts w:eastAsia="Times New Roman"/>
          <w:sz w:val="22"/>
          <w:szCs w:val="22"/>
          <w:lang w:val="uk-UA"/>
        </w:rPr>
        <w:t>-</w:t>
      </w:r>
      <w:r>
        <w:rPr>
          <w:rFonts w:eastAsia="Times New Roman"/>
          <w:sz w:val="22"/>
          <w:szCs w:val="22"/>
          <w:lang w:val="uk-UA"/>
        </w:rPr>
        <w:t>32</w:t>
      </w:r>
      <w:r w:rsidRPr="00236DB3">
        <w:rPr>
          <w:rFonts w:eastAsia="Times New Roman"/>
          <w:sz w:val="22"/>
          <w:szCs w:val="22"/>
          <w:lang w:val="uk-UA"/>
        </w:rPr>
        <w:t>, е-</w:t>
      </w:r>
      <w:proofErr w:type="spellStart"/>
      <w:r w:rsidRPr="00236DB3">
        <w:rPr>
          <w:rFonts w:eastAsia="Times New Roman"/>
          <w:sz w:val="22"/>
          <w:szCs w:val="22"/>
          <w:lang w:val="uk-UA"/>
        </w:rPr>
        <w:t>mail</w:t>
      </w:r>
      <w:proofErr w:type="spellEnd"/>
      <w:r w:rsidRPr="00236DB3">
        <w:rPr>
          <w:rFonts w:eastAsia="Times New Roman"/>
          <w:sz w:val="22"/>
          <w:szCs w:val="22"/>
          <w:lang w:val="uk-UA"/>
        </w:rPr>
        <w:t>: inbox@og.hr.court.gov.ua</w:t>
      </w:r>
    </w:p>
    <w:p w:rsidR="00D47D06" w:rsidRPr="0093631D" w:rsidRDefault="00D47D06" w:rsidP="00D47D06">
      <w:pPr>
        <w:ind w:firstLine="851"/>
        <w:jc w:val="center"/>
        <w:rPr>
          <w:lang w:val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B0C94" wp14:editId="4FCE4F13">
                <wp:simplePos x="0" y="0"/>
                <wp:positionH relativeFrom="column">
                  <wp:posOffset>190500</wp:posOffset>
                </wp:positionH>
                <wp:positionV relativeFrom="paragraph">
                  <wp:posOffset>142240</wp:posOffset>
                </wp:positionV>
                <wp:extent cx="5829300" cy="0"/>
                <wp:effectExtent l="19050" t="27940" r="19050" b="19685"/>
                <wp:wrapNone/>
                <wp:docPr id="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A53A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11.2pt" to="47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oUEQIAACo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" strokeweight="3pt"/>
            </w:pict>
          </mc:Fallback>
        </mc:AlternateContent>
      </w:r>
    </w:p>
    <w:p w:rsidR="00D47D06" w:rsidRDefault="00D47D06" w:rsidP="00D47D06">
      <w:pPr>
        <w:ind w:firstLine="851"/>
        <w:jc w:val="center"/>
        <w:rPr>
          <w:lang w:val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C666B" wp14:editId="2EB1DA88">
                <wp:simplePos x="0" y="0"/>
                <wp:positionH relativeFrom="column">
                  <wp:posOffset>190500</wp:posOffset>
                </wp:positionH>
                <wp:positionV relativeFrom="paragraph">
                  <wp:posOffset>71755</wp:posOffset>
                </wp:positionV>
                <wp:extent cx="5829300" cy="0"/>
                <wp:effectExtent l="9525" t="5080" r="9525" b="13970"/>
                <wp:wrapNone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BE84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5.65pt" to="47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2P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"/>
            </w:pict>
          </mc:Fallback>
        </mc:AlternateContent>
      </w:r>
    </w:p>
    <w:p w:rsidR="00B11195" w:rsidRPr="00B11195" w:rsidRDefault="00B11195" w:rsidP="00B11195">
      <w:pPr>
        <w:tabs>
          <w:tab w:val="left" w:pos="2175"/>
        </w:tabs>
        <w:rPr>
          <w:b/>
          <w:lang w:val="uk-UA"/>
        </w:rPr>
      </w:pPr>
      <w:r>
        <w:rPr>
          <w:lang w:val="uk-UA"/>
        </w:rPr>
        <w:t xml:space="preserve">     </w:t>
      </w:r>
      <w:r w:rsidR="00704EFF">
        <w:rPr>
          <w:b/>
          <w:szCs w:val="24"/>
          <w:lang w:val="uk-UA"/>
        </w:rPr>
        <w:tab/>
      </w:r>
    </w:p>
    <w:p w:rsidR="00B11195" w:rsidRPr="00B11195" w:rsidRDefault="00B11195" w:rsidP="00B11195">
      <w:pPr>
        <w:spacing w:line="360" w:lineRule="auto"/>
        <w:ind w:left="-357" w:firstLine="357"/>
        <w:jc w:val="center"/>
        <w:rPr>
          <w:rFonts w:eastAsia="Times New Roman"/>
          <w:b/>
          <w:color w:val="auto"/>
          <w:szCs w:val="24"/>
          <w:lang w:val="uk-UA"/>
        </w:rPr>
      </w:pPr>
      <w:r w:rsidRPr="00B11195">
        <w:rPr>
          <w:rFonts w:eastAsia="Times New Roman"/>
          <w:b/>
          <w:color w:val="auto"/>
          <w:szCs w:val="24"/>
          <w:lang w:val="uk-UA"/>
        </w:rPr>
        <w:t>А Н А Л І З</w:t>
      </w:r>
    </w:p>
    <w:p w:rsidR="00354673" w:rsidRPr="00B25279" w:rsidRDefault="00B11195" w:rsidP="00B25279">
      <w:pPr>
        <w:spacing w:line="360" w:lineRule="auto"/>
        <w:ind w:left="-357" w:firstLine="357"/>
        <w:jc w:val="center"/>
        <w:rPr>
          <w:rFonts w:eastAsia="Times New Roman"/>
          <w:b/>
          <w:color w:val="auto"/>
          <w:sz w:val="21"/>
          <w:lang w:val="uk-UA"/>
        </w:rPr>
      </w:pPr>
      <w:r w:rsidRPr="00B11195">
        <w:rPr>
          <w:rFonts w:eastAsia="Times New Roman"/>
          <w:b/>
          <w:color w:val="auto"/>
          <w:szCs w:val="24"/>
          <w:lang w:val="uk-UA"/>
        </w:rPr>
        <w:t>роботи зі зверненнями громадян у Орджонікідзевському</w:t>
      </w:r>
      <w:r w:rsidR="00B25279">
        <w:rPr>
          <w:rFonts w:eastAsia="Times New Roman"/>
          <w:b/>
          <w:color w:val="auto"/>
          <w:sz w:val="21"/>
          <w:lang w:val="uk-UA"/>
        </w:rPr>
        <w:t xml:space="preserve"> </w:t>
      </w:r>
      <w:r w:rsidRPr="00B11195">
        <w:rPr>
          <w:rFonts w:eastAsia="Times New Roman"/>
          <w:b/>
          <w:color w:val="auto"/>
          <w:szCs w:val="24"/>
          <w:lang w:val="uk-UA"/>
        </w:rPr>
        <w:t>районному суді м</w:t>
      </w:r>
      <w:r w:rsidR="005A3B06">
        <w:rPr>
          <w:rFonts w:eastAsia="Times New Roman"/>
          <w:b/>
          <w:color w:val="auto"/>
          <w:szCs w:val="24"/>
          <w:lang w:val="uk-UA"/>
        </w:rPr>
        <w:t>. Харкова за перше півріччя 2020</w:t>
      </w:r>
      <w:r w:rsidRPr="00B11195">
        <w:rPr>
          <w:rFonts w:eastAsia="Times New Roman"/>
          <w:b/>
          <w:color w:val="auto"/>
          <w:szCs w:val="24"/>
          <w:lang w:val="uk-UA"/>
        </w:rPr>
        <w:t xml:space="preserve"> року у  по</w:t>
      </w:r>
      <w:r w:rsidR="005A3B06">
        <w:rPr>
          <w:rFonts w:eastAsia="Times New Roman"/>
          <w:b/>
          <w:color w:val="auto"/>
          <w:szCs w:val="24"/>
          <w:lang w:val="uk-UA"/>
        </w:rPr>
        <w:t>рівнянні з першим півріччям 2019</w:t>
      </w:r>
      <w:r w:rsidRPr="00B11195">
        <w:rPr>
          <w:rFonts w:eastAsia="Times New Roman"/>
          <w:b/>
          <w:color w:val="auto"/>
          <w:szCs w:val="24"/>
          <w:lang w:val="uk-UA"/>
        </w:rPr>
        <w:t xml:space="preserve"> року.</w:t>
      </w:r>
    </w:p>
    <w:p w:rsidR="005A3B06" w:rsidRDefault="00E70EE8" w:rsidP="00245F9A">
      <w:pPr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  <w:r>
        <w:rPr>
          <w:rFonts w:eastAsia="Times New Roman"/>
          <w:b/>
          <w:color w:val="auto"/>
          <w:lang w:val="uk-UA"/>
        </w:rPr>
        <w:tab/>
      </w:r>
      <w:r w:rsidRPr="00B11195">
        <w:rPr>
          <w:rFonts w:eastAsia="Times New Roman"/>
          <w:b/>
          <w:color w:val="auto"/>
          <w:szCs w:val="24"/>
          <w:lang w:val="uk-UA"/>
        </w:rPr>
        <w:t>На вик</w:t>
      </w:r>
      <w:r w:rsidR="005A3B06">
        <w:rPr>
          <w:rFonts w:eastAsia="Times New Roman"/>
          <w:b/>
          <w:color w:val="auto"/>
          <w:szCs w:val="24"/>
          <w:lang w:val="uk-UA"/>
        </w:rPr>
        <w:t>онання плану роботи суду на 2020</w:t>
      </w:r>
      <w:r w:rsidRPr="00B11195">
        <w:rPr>
          <w:rFonts w:eastAsia="Times New Roman"/>
          <w:b/>
          <w:color w:val="auto"/>
          <w:szCs w:val="24"/>
          <w:lang w:val="uk-UA"/>
        </w:rPr>
        <w:t xml:space="preserve"> рік </w:t>
      </w:r>
      <w:r>
        <w:rPr>
          <w:rFonts w:eastAsia="Times New Roman"/>
          <w:b/>
          <w:color w:val="auto"/>
          <w:lang w:val="uk-UA"/>
        </w:rPr>
        <w:t>та з</w:t>
      </w:r>
      <w:r w:rsidRPr="00E70EE8">
        <w:rPr>
          <w:rFonts w:eastAsia="Times New Roman"/>
          <w:b/>
          <w:color w:val="auto"/>
          <w:lang w:val="uk-UA"/>
        </w:rPr>
        <w:t xml:space="preserve"> метою </w:t>
      </w:r>
      <w:r w:rsidR="00245F9A">
        <w:rPr>
          <w:rFonts w:eastAsia="Times New Roman"/>
          <w:b/>
          <w:color w:val="auto"/>
          <w:lang w:val="uk-UA"/>
        </w:rPr>
        <w:t>реалізації громадянами їх конституційного права на звернення</w:t>
      </w:r>
      <w:r w:rsidR="00ED64C3">
        <w:rPr>
          <w:rFonts w:eastAsia="Times New Roman"/>
          <w:b/>
          <w:color w:val="auto"/>
          <w:lang w:val="uk-UA"/>
        </w:rPr>
        <w:t>,</w:t>
      </w:r>
      <w:r w:rsidR="00245F9A">
        <w:rPr>
          <w:rFonts w:eastAsia="Times New Roman"/>
          <w:b/>
          <w:color w:val="auto"/>
          <w:lang w:val="uk-UA"/>
        </w:rPr>
        <w:t xml:space="preserve"> ґрунтовного та всебічного розгляду питань, які порушуються громадя</w:t>
      </w:r>
      <w:r w:rsidR="00ED64C3">
        <w:rPr>
          <w:rFonts w:eastAsia="Times New Roman"/>
          <w:b/>
          <w:color w:val="auto"/>
          <w:lang w:val="uk-UA"/>
        </w:rPr>
        <w:t xml:space="preserve">нами, </w:t>
      </w:r>
      <w:r w:rsidRPr="00E70EE8">
        <w:rPr>
          <w:rFonts w:eastAsia="Times New Roman"/>
          <w:b/>
          <w:color w:val="auto"/>
          <w:szCs w:val="24"/>
          <w:lang w:val="uk-UA"/>
        </w:rPr>
        <w:t>Орджонікідзевс</w:t>
      </w:r>
      <w:r w:rsidR="00167165">
        <w:rPr>
          <w:rFonts w:eastAsia="Times New Roman"/>
          <w:b/>
          <w:color w:val="auto"/>
          <w:szCs w:val="24"/>
          <w:lang w:val="uk-UA"/>
        </w:rPr>
        <w:t>ь</w:t>
      </w:r>
      <w:r w:rsidRPr="00E70EE8">
        <w:rPr>
          <w:rFonts w:eastAsia="Times New Roman"/>
          <w:b/>
          <w:color w:val="auto"/>
          <w:szCs w:val="24"/>
          <w:lang w:val="uk-UA"/>
        </w:rPr>
        <w:t>ким районним судом м. Харкова проводиться систематичне спостереження та вивчення роботи з обліку та розгляду звернень громадян ( заяв, скарг, пропозицій)</w:t>
      </w:r>
      <w:r w:rsidR="00245F9A">
        <w:rPr>
          <w:rFonts w:eastAsia="Times New Roman"/>
          <w:b/>
          <w:color w:val="auto"/>
          <w:szCs w:val="24"/>
          <w:lang w:val="uk-UA"/>
        </w:rPr>
        <w:t>.</w:t>
      </w:r>
      <w:r w:rsidRPr="00E70EE8">
        <w:rPr>
          <w:rFonts w:eastAsia="Times New Roman"/>
          <w:b/>
          <w:color w:val="auto"/>
          <w:szCs w:val="24"/>
          <w:lang w:val="uk-UA"/>
        </w:rPr>
        <w:t xml:space="preserve"> </w:t>
      </w:r>
    </w:p>
    <w:p w:rsidR="009A4109" w:rsidRPr="00ED64C3" w:rsidRDefault="00AE32D4" w:rsidP="009A4109">
      <w:pPr>
        <w:contextualSpacing/>
        <w:jc w:val="both"/>
        <w:rPr>
          <w:b/>
          <w:szCs w:val="24"/>
          <w:lang w:val="uk-UA"/>
        </w:rPr>
      </w:pPr>
      <w:r>
        <w:rPr>
          <w:rFonts w:eastAsia="Times New Roman"/>
          <w:b/>
          <w:color w:val="auto"/>
          <w:szCs w:val="24"/>
          <w:lang w:val="uk-UA"/>
        </w:rPr>
        <w:tab/>
        <w:t>Діяльність суду по роботі зі зверненнями громадян та юридични</w:t>
      </w:r>
      <w:r w:rsidR="00ED64C3">
        <w:rPr>
          <w:rFonts w:eastAsia="Times New Roman"/>
          <w:b/>
          <w:color w:val="auto"/>
          <w:szCs w:val="24"/>
          <w:lang w:val="uk-UA"/>
        </w:rPr>
        <w:t>х осіб ґрунтується на дотриманні</w:t>
      </w:r>
      <w:r>
        <w:rPr>
          <w:rFonts w:eastAsia="Times New Roman"/>
          <w:b/>
          <w:color w:val="auto"/>
          <w:szCs w:val="24"/>
          <w:lang w:val="uk-UA"/>
        </w:rPr>
        <w:t xml:space="preserve"> норм Конституції України, Закону України «Про звернення громадян</w:t>
      </w:r>
      <w:r w:rsidR="006331D0">
        <w:rPr>
          <w:rFonts w:eastAsia="Times New Roman"/>
          <w:b/>
          <w:color w:val="auto"/>
          <w:szCs w:val="24"/>
          <w:lang w:val="uk-UA"/>
        </w:rPr>
        <w:t>»,</w:t>
      </w:r>
      <w:r w:rsidR="006331D0" w:rsidRPr="006331D0">
        <w:rPr>
          <w:rFonts w:eastAsia="Calibri"/>
          <w:b/>
          <w:color w:val="auto"/>
          <w:szCs w:val="24"/>
          <w:lang w:val="uk-UA" w:eastAsia="en-US"/>
        </w:rPr>
        <w:t xml:space="preserve"> </w:t>
      </w:r>
      <w:r w:rsidR="006331D0">
        <w:rPr>
          <w:rFonts w:eastAsia="Calibri"/>
          <w:b/>
          <w:color w:val="auto"/>
          <w:szCs w:val="24"/>
          <w:lang w:val="uk-UA" w:eastAsia="en-US"/>
        </w:rPr>
        <w:t xml:space="preserve">Закону </w:t>
      </w:r>
      <w:r w:rsidR="006331D0" w:rsidRPr="00E241B5">
        <w:rPr>
          <w:rFonts w:eastAsia="Calibri"/>
          <w:b/>
          <w:color w:val="auto"/>
          <w:szCs w:val="24"/>
          <w:lang w:val="uk-UA" w:eastAsia="en-US"/>
        </w:rPr>
        <w:t>України «Про інформацію», Закону України «Про доступ до публічної інформації»,</w:t>
      </w:r>
      <w:r w:rsidR="006331D0" w:rsidRPr="006331D0">
        <w:rPr>
          <w:rFonts w:eastAsia="Calibri"/>
          <w:b/>
          <w:color w:val="auto"/>
          <w:szCs w:val="24"/>
          <w:lang w:val="uk-UA" w:eastAsia="en-US"/>
        </w:rPr>
        <w:t xml:space="preserve"> </w:t>
      </w:r>
      <w:r w:rsidR="006331D0">
        <w:rPr>
          <w:rFonts w:eastAsia="Calibri"/>
          <w:b/>
          <w:color w:val="auto"/>
          <w:szCs w:val="24"/>
          <w:lang w:val="uk-UA" w:eastAsia="en-US"/>
        </w:rPr>
        <w:t>Указу</w:t>
      </w:r>
      <w:r w:rsidR="006331D0" w:rsidRPr="00E241B5">
        <w:rPr>
          <w:rFonts w:eastAsia="Calibri"/>
          <w:b/>
          <w:color w:val="auto"/>
          <w:szCs w:val="24"/>
          <w:lang w:val="uk-UA" w:eastAsia="en-US"/>
        </w:rPr>
        <w:t xml:space="preserve"> Президента України  від 07.02.2008 р.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</w:t>
      </w:r>
      <w:r w:rsidR="006331D0" w:rsidRPr="006331D0">
        <w:rPr>
          <w:rFonts w:eastAsia="Calibri"/>
          <w:b/>
          <w:color w:val="auto"/>
          <w:szCs w:val="24"/>
          <w:lang w:val="uk-UA" w:eastAsia="en-US"/>
        </w:rPr>
        <w:t xml:space="preserve"> </w:t>
      </w:r>
      <w:r w:rsidR="006331D0" w:rsidRPr="00E241B5">
        <w:rPr>
          <w:rFonts w:eastAsia="Calibri"/>
          <w:b/>
          <w:color w:val="auto"/>
          <w:szCs w:val="24"/>
          <w:lang w:val="uk-UA" w:eastAsia="en-US"/>
        </w:rPr>
        <w:t xml:space="preserve">Інструкції з діловодства за зверненнями громадян в органах державної влади </w:t>
      </w:r>
      <w:r w:rsidR="006331D0" w:rsidRPr="00ED64C3">
        <w:rPr>
          <w:rFonts w:eastAsia="Calibri"/>
          <w:b/>
          <w:color w:val="auto"/>
          <w:szCs w:val="24"/>
          <w:lang w:val="uk-UA" w:eastAsia="en-US"/>
        </w:rPr>
        <w:t>і місцевого самоврядування, об’єднаннях громадян, на підприємствах, установах, організаціях незалежно від форм власності, в засобах масової інформації та інших нормативно-правових актів, які рег</w:t>
      </w:r>
      <w:r w:rsidR="009A4109" w:rsidRPr="00ED64C3">
        <w:rPr>
          <w:rFonts w:eastAsia="Calibri"/>
          <w:b/>
          <w:color w:val="auto"/>
          <w:szCs w:val="24"/>
          <w:lang w:val="uk-UA" w:eastAsia="en-US"/>
        </w:rPr>
        <w:t xml:space="preserve">улюють питання у сфері звернень та </w:t>
      </w:r>
      <w:r w:rsidR="001A446D" w:rsidRPr="00ED64C3">
        <w:rPr>
          <w:rFonts w:eastAsia="Calibri"/>
          <w:b/>
          <w:szCs w:val="24"/>
          <w:lang w:val="uk-UA" w:eastAsia="en-US"/>
        </w:rPr>
        <w:t>напра</w:t>
      </w:r>
      <w:r w:rsidR="00810F33" w:rsidRPr="00ED64C3">
        <w:rPr>
          <w:rFonts w:eastAsia="Calibri"/>
          <w:b/>
          <w:szCs w:val="24"/>
          <w:lang w:val="uk-UA" w:eastAsia="en-US"/>
        </w:rPr>
        <w:t>влена на забезпечення реалізації</w:t>
      </w:r>
      <w:r w:rsidR="009A4109" w:rsidRPr="00ED64C3">
        <w:rPr>
          <w:rFonts w:eastAsia="Calibri"/>
          <w:b/>
          <w:szCs w:val="24"/>
          <w:lang w:val="uk-UA" w:eastAsia="en-US"/>
        </w:rPr>
        <w:t xml:space="preserve"> </w:t>
      </w:r>
      <w:r w:rsidR="001A446D" w:rsidRPr="00ED64C3">
        <w:rPr>
          <w:rFonts w:eastAsia="Calibri"/>
          <w:b/>
          <w:szCs w:val="24"/>
          <w:lang w:val="uk-UA" w:eastAsia="en-US"/>
        </w:rPr>
        <w:t>права громадян на звернення із заявами та скаргами щодо оскарження певних рішень, дій чи бездіяльності</w:t>
      </w:r>
      <w:r w:rsidR="00F94F6D" w:rsidRPr="00ED64C3">
        <w:rPr>
          <w:rFonts w:eastAsia="Calibri"/>
          <w:b/>
          <w:szCs w:val="24"/>
          <w:lang w:val="uk-UA" w:eastAsia="en-US"/>
        </w:rPr>
        <w:t xml:space="preserve"> суб’єктів владних повноважень, відновлення їхніх порушених прав і законних інтересів.</w:t>
      </w:r>
      <w:r w:rsidR="00F94F6D" w:rsidRPr="00ED64C3">
        <w:rPr>
          <w:b/>
          <w:szCs w:val="24"/>
          <w:lang w:val="uk-UA"/>
        </w:rPr>
        <w:t xml:space="preserve"> </w:t>
      </w:r>
    </w:p>
    <w:p w:rsidR="00B25279" w:rsidRDefault="00C161F6" w:rsidP="00B25279">
      <w:pPr>
        <w:ind w:firstLine="708"/>
        <w:jc w:val="both"/>
        <w:rPr>
          <w:rFonts w:eastAsia="Times New Roman"/>
          <w:b/>
          <w:color w:val="auto"/>
          <w:szCs w:val="24"/>
          <w:lang w:val="uk-UA" w:eastAsia="uk-UA"/>
        </w:rPr>
      </w:pPr>
      <w:r w:rsidRPr="00ED64C3">
        <w:rPr>
          <w:rFonts w:eastAsia="Calibri"/>
          <w:b/>
          <w:color w:val="auto"/>
          <w:szCs w:val="24"/>
          <w:shd w:val="clear" w:color="auto" w:fill="FFFFFF"/>
          <w:lang w:val="uk-UA" w:eastAsia="en-US"/>
        </w:rPr>
        <w:t>Важливим зах</w:t>
      </w:r>
      <w:r w:rsidR="00ED64C3">
        <w:rPr>
          <w:rFonts w:eastAsia="Calibri"/>
          <w:b/>
          <w:color w:val="auto"/>
          <w:szCs w:val="24"/>
          <w:shd w:val="clear" w:color="auto" w:fill="FFFFFF"/>
          <w:lang w:val="uk-UA" w:eastAsia="en-US"/>
        </w:rPr>
        <w:t xml:space="preserve">одом реалізації </w:t>
      </w:r>
      <w:r w:rsidRPr="00ED64C3">
        <w:rPr>
          <w:rFonts w:eastAsia="Calibri"/>
          <w:b/>
          <w:color w:val="auto"/>
          <w:szCs w:val="24"/>
          <w:shd w:val="clear" w:color="auto" w:fill="FFFFFF"/>
          <w:lang w:val="uk-UA" w:eastAsia="en-US"/>
        </w:rPr>
        <w:t>права громадян на звернення є</w:t>
      </w:r>
      <w:r>
        <w:rPr>
          <w:rFonts w:eastAsia="Calibri"/>
          <w:b/>
          <w:color w:val="auto"/>
          <w:szCs w:val="24"/>
          <w:shd w:val="clear" w:color="auto" w:fill="FFFFFF"/>
          <w:lang w:val="uk-UA" w:eastAsia="en-US"/>
        </w:rPr>
        <w:t xml:space="preserve"> </w:t>
      </w:r>
      <w:r w:rsidRPr="00F720AE">
        <w:rPr>
          <w:rFonts w:eastAsia="Calibri"/>
          <w:b/>
          <w:color w:val="auto"/>
          <w:szCs w:val="24"/>
          <w:shd w:val="clear" w:color="auto" w:fill="FFFFFF"/>
          <w:lang w:val="uk-UA" w:eastAsia="en-US"/>
        </w:rPr>
        <w:t>особистий прийом громадян</w:t>
      </w:r>
      <w:r>
        <w:rPr>
          <w:rFonts w:eastAsia="Calibri"/>
          <w:b/>
          <w:color w:val="auto"/>
          <w:szCs w:val="24"/>
          <w:shd w:val="clear" w:color="auto" w:fill="FFFFFF"/>
          <w:lang w:val="uk-UA" w:eastAsia="en-US"/>
        </w:rPr>
        <w:t xml:space="preserve"> керівництвом суду</w:t>
      </w:r>
      <w:r w:rsidRPr="00F720AE">
        <w:rPr>
          <w:rFonts w:eastAsia="Calibri"/>
          <w:b/>
          <w:color w:val="auto"/>
          <w:szCs w:val="24"/>
          <w:shd w:val="clear" w:color="auto" w:fill="FFFFFF"/>
          <w:lang w:val="uk-UA" w:eastAsia="en-US"/>
        </w:rPr>
        <w:t>.</w:t>
      </w:r>
      <w:r>
        <w:rPr>
          <w:rFonts w:eastAsia="Calibri"/>
          <w:b/>
          <w:color w:val="auto"/>
          <w:szCs w:val="24"/>
          <w:shd w:val="clear" w:color="auto" w:fill="FFFFFF"/>
          <w:lang w:val="uk-UA" w:eastAsia="en-US"/>
        </w:rPr>
        <w:t xml:space="preserve"> </w:t>
      </w:r>
      <w:r w:rsidR="00841DF2">
        <w:rPr>
          <w:rFonts w:eastAsia="Calibri"/>
          <w:b/>
          <w:color w:val="auto"/>
          <w:szCs w:val="24"/>
          <w:shd w:val="clear" w:color="auto" w:fill="FFFFFF"/>
          <w:lang w:val="uk-UA" w:eastAsia="en-US"/>
        </w:rPr>
        <w:t>Такі з</w:t>
      </w:r>
      <w:r>
        <w:rPr>
          <w:rFonts w:eastAsia="Calibri"/>
          <w:b/>
          <w:color w:val="auto"/>
          <w:szCs w:val="24"/>
          <w:shd w:val="clear" w:color="auto" w:fill="FFFFFF"/>
          <w:lang w:val="uk-UA" w:eastAsia="en-US"/>
        </w:rPr>
        <w:t xml:space="preserve">вернення </w:t>
      </w:r>
      <w:r w:rsidRPr="00245F9A">
        <w:rPr>
          <w:b/>
          <w:sz w:val="23"/>
          <w:szCs w:val="23"/>
          <w:lang w:val="uk-UA"/>
        </w:rPr>
        <w:t>надають можливість через проблеми окремого заявника бачити п</w:t>
      </w:r>
      <w:r>
        <w:rPr>
          <w:b/>
          <w:sz w:val="23"/>
          <w:szCs w:val="23"/>
          <w:lang w:val="uk-UA"/>
        </w:rPr>
        <w:t xml:space="preserve">роблему </w:t>
      </w:r>
      <w:r w:rsidRPr="00245F9A">
        <w:rPr>
          <w:b/>
          <w:sz w:val="23"/>
          <w:szCs w:val="23"/>
          <w:lang w:val="uk-UA"/>
        </w:rPr>
        <w:t xml:space="preserve"> в цілому, а реалізація через звернення конституційних прав і свобод є кроком до зміцнення </w:t>
      </w:r>
      <w:r w:rsidR="00841DF2">
        <w:rPr>
          <w:b/>
          <w:sz w:val="23"/>
          <w:szCs w:val="23"/>
          <w:lang w:val="uk-UA"/>
        </w:rPr>
        <w:t xml:space="preserve">довіри, відкритості та гласності </w:t>
      </w:r>
      <w:r w:rsidR="00ED64C3">
        <w:rPr>
          <w:b/>
          <w:sz w:val="23"/>
          <w:szCs w:val="23"/>
          <w:lang w:val="uk-UA"/>
        </w:rPr>
        <w:t xml:space="preserve">в </w:t>
      </w:r>
      <w:r w:rsidR="00841DF2">
        <w:rPr>
          <w:b/>
          <w:sz w:val="23"/>
          <w:szCs w:val="23"/>
          <w:lang w:val="uk-UA"/>
        </w:rPr>
        <w:t>діяльності суду.</w:t>
      </w:r>
      <w:r w:rsidR="00841DF2" w:rsidRPr="00841DF2">
        <w:rPr>
          <w:rFonts w:eastAsia="Times New Roman"/>
          <w:b/>
          <w:color w:val="auto"/>
          <w:szCs w:val="24"/>
          <w:lang w:val="uk-UA"/>
        </w:rPr>
        <w:t xml:space="preserve"> </w:t>
      </w:r>
      <w:r w:rsidR="00841DF2">
        <w:rPr>
          <w:rFonts w:eastAsia="Times New Roman"/>
          <w:b/>
          <w:color w:val="auto"/>
          <w:szCs w:val="24"/>
          <w:lang w:val="uk-UA"/>
        </w:rPr>
        <w:t>Р</w:t>
      </w:r>
      <w:r w:rsidR="00841DF2" w:rsidRPr="00F720AE">
        <w:rPr>
          <w:rFonts w:eastAsia="Times New Roman"/>
          <w:b/>
          <w:color w:val="auto"/>
          <w:szCs w:val="24"/>
          <w:lang w:val="uk-UA"/>
        </w:rPr>
        <w:t>озпорядженням голови суду від 12</w:t>
      </w:r>
      <w:r w:rsidR="00841DF2" w:rsidRPr="00F720AE">
        <w:rPr>
          <w:rFonts w:eastAsia="Calibri"/>
          <w:b/>
          <w:color w:val="auto"/>
          <w:szCs w:val="24"/>
          <w:lang w:val="uk-UA" w:eastAsia="en-US"/>
        </w:rPr>
        <w:t xml:space="preserve"> </w:t>
      </w:r>
      <w:r w:rsidR="00841DF2" w:rsidRPr="00F720AE">
        <w:rPr>
          <w:rFonts w:eastAsia="Times New Roman"/>
          <w:b/>
          <w:color w:val="auto"/>
          <w:szCs w:val="24"/>
          <w:lang w:val="uk-UA"/>
        </w:rPr>
        <w:t>грудня 2012 року № 9</w:t>
      </w:r>
      <w:r w:rsidR="00841DF2" w:rsidRPr="00F720AE">
        <w:rPr>
          <w:rFonts w:eastAsia="Calibri"/>
          <w:b/>
          <w:color w:val="auto"/>
          <w:szCs w:val="24"/>
          <w:lang w:val="uk-UA" w:eastAsia="en-US" w:bidi="uk-UA"/>
        </w:rPr>
        <w:t xml:space="preserve"> </w:t>
      </w:r>
      <w:r w:rsidR="00841DF2" w:rsidRPr="00F94F6D">
        <w:rPr>
          <w:rFonts w:eastAsia="Calibri"/>
          <w:b/>
          <w:color w:val="auto"/>
          <w:szCs w:val="24"/>
          <w:lang w:val="uk-UA" w:eastAsia="en-US" w:bidi="uk-UA"/>
        </w:rPr>
        <w:t>затверджено графік прийому гро</w:t>
      </w:r>
      <w:r w:rsidR="008A374C">
        <w:rPr>
          <w:rFonts w:eastAsia="Calibri"/>
          <w:b/>
          <w:color w:val="auto"/>
          <w:szCs w:val="24"/>
          <w:lang w:val="uk-UA" w:eastAsia="en-US" w:bidi="uk-UA"/>
        </w:rPr>
        <w:t>мадян головою суду, заступником</w:t>
      </w:r>
      <w:r w:rsidR="00841DF2" w:rsidRPr="00F94F6D">
        <w:rPr>
          <w:rFonts w:eastAsia="Calibri"/>
          <w:b/>
          <w:color w:val="auto"/>
          <w:szCs w:val="24"/>
          <w:lang w:val="uk-UA" w:eastAsia="en-US" w:bidi="uk-UA"/>
        </w:rPr>
        <w:t xml:space="preserve"> голови суду, керівником апарату суду</w:t>
      </w:r>
      <w:r w:rsidR="00841DF2">
        <w:rPr>
          <w:rFonts w:eastAsia="Calibri"/>
          <w:b/>
          <w:color w:val="auto"/>
          <w:szCs w:val="24"/>
          <w:lang w:val="uk-UA" w:eastAsia="en-US" w:bidi="uk-UA"/>
        </w:rPr>
        <w:t xml:space="preserve"> та його заступниками.</w:t>
      </w:r>
      <w:r w:rsidR="008A374C" w:rsidRPr="008A374C">
        <w:rPr>
          <w:rFonts w:eastAsia="Times New Roman"/>
          <w:b/>
          <w:color w:val="auto"/>
          <w:szCs w:val="24"/>
          <w:lang w:val="uk-UA" w:eastAsia="uk-UA"/>
        </w:rPr>
        <w:t xml:space="preserve"> Для більшої поінформованості відвід</w:t>
      </w:r>
      <w:r w:rsidR="008A374C">
        <w:rPr>
          <w:rFonts w:eastAsia="Times New Roman"/>
          <w:b/>
          <w:color w:val="auto"/>
          <w:szCs w:val="24"/>
          <w:lang w:val="uk-UA" w:eastAsia="uk-UA"/>
        </w:rPr>
        <w:t xml:space="preserve">увачів суду </w:t>
      </w:r>
      <w:r w:rsidR="008A374C">
        <w:rPr>
          <w:rFonts w:eastAsia="Calibri"/>
          <w:b/>
          <w:color w:val="auto"/>
          <w:szCs w:val="24"/>
          <w:lang w:val="uk-UA" w:eastAsia="en-US" w:bidi="uk-UA"/>
        </w:rPr>
        <w:t>г</w:t>
      </w:r>
      <w:r w:rsidR="008A374C" w:rsidRPr="00F94F6D">
        <w:rPr>
          <w:rFonts w:eastAsia="Calibri"/>
          <w:b/>
          <w:color w:val="auto"/>
          <w:szCs w:val="24"/>
          <w:lang w:val="uk-UA" w:eastAsia="en-US" w:bidi="uk-UA"/>
        </w:rPr>
        <w:t>рафік прийому грома</w:t>
      </w:r>
      <w:r w:rsidR="008A374C">
        <w:rPr>
          <w:rFonts w:eastAsia="Calibri"/>
          <w:b/>
          <w:color w:val="auto"/>
          <w:szCs w:val="24"/>
          <w:lang w:val="uk-UA" w:eastAsia="en-US" w:bidi="uk-UA"/>
        </w:rPr>
        <w:t xml:space="preserve">дян розміщено </w:t>
      </w:r>
      <w:r w:rsidR="008A374C" w:rsidRPr="00F94F6D">
        <w:rPr>
          <w:rFonts w:eastAsia="Calibri"/>
          <w:b/>
          <w:color w:val="auto"/>
          <w:szCs w:val="24"/>
          <w:lang w:val="uk-UA" w:eastAsia="en-US" w:bidi="uk-UA"/>
        </w:rPr>
        <w:t>на довідкових стендах</w:t>
      </w:r>
      <w:r w:rsidR="008A374C">
        <w:rPr>
          <w:rFonts w:eastAsia="Calibri"/>
          <w:b/>
          <w:color w:val="auto"/>
          <w:szCs w:val="24"/>
          <w:lang w:val="uk-UA" w:eastAsia="en-US" w:bidi="uk-UA"/>
        </w:rPr>
        <w:t xml:space="preserve"> у приміщенні суду</w:t>
      </w:r>
      <w:r w:rsidR="008A374C" w:rsidRPr="00F94F6D">
        <w:rPr>
          <w:rFonts w:eastAsia="Calibri"/>
          <w:b/>
          <w:color w:val="auto"/>
          <w:szCs w:val="24"/>
          <w:lang w:val="uk-UA" w:eastAsia="en-US" w:bidi="uk-UA"/>
        </w:rPr>
        <w:t>, а так</w:t>
      </w:r>
      <w:r w:rsidR="008A374C" w:rsidRPr="00F720AE">
        <w:rPr>
          <w:rFonts w:eastAsia="Calibri"/>
          <w:b/>
          <w:color w:val="auto"/>
          <w:szCs w:val="24"/>
          <w:lang w:val="uk-UA" w:eastAsia="en-US" w:bidi="uk-UA"/>
        </w:rPr>
        <w:t>ож на офіційному веб-сайті суду, на якому</w:t>
      </w:r>
      <w:r w:rsidR="008A374C" w:rsidRPr="00F720AE">
        <w:rPr>
          <w:rFonts w:eastAsia="Calibri"/>
          <w:b/>
          <w:color w:val="auto"/>
          <w:szCs w:val="24"/>
          <w:shd w:val="clear" w:color="auto" w:fill="FFFFFF"/>
          <w:lang w:val="uk-UA" w:eastAsia="en-US"/>
        </w:rPr>
        <w:t xml:space="preserve"> також </w:t>
      </w:r>
      <w:r w:rsidR="008A374C" w:rsidRPr="00F94F6D">
        <w:rPr>
          <w:rFonts w:eastAsia="Calibri"/>
          <w:b/>
          <w:color w:val="auto"/>
          <w:szCs w:val="24"/>
          <w:shd w:val="clear" w:color="auto" w:fill="FFFFFF"/>
          <w:lang w:val="uk-UA" w:eastAsia="en-US"/>
        </w:rPr>
        <w:t>здійснюється оприлюднення актуальної інформації з питань звернень та особистого прийому громадян. </w:t>
      </w:r>
      <w:r w:rsidR="008A374C" w:rsidRPr="008F029F">
        <w:rPr>
          <w:rFonts w:eastAsia="Times New Roman"/>
          <w:b/>
          <w:color w:val="auto"/>
          <w:szCs w:val="24"/>
          <w:lang w:val="uk-UA" w:eastAsia="uk-UA"/>
        </w:rPr>
        <w:t>Бланк електронної форми</w:t>
      </w:r>
      <w:r w:rsidR="008A374C">
        <w:rPr>
          <w:rFonts w:eastAsia="Times New Roman"/>
          <w:b/>
          <w:color w:val="auto"/>
          <w:szCs w:val="24"/>
          <w:lang w:val="uk-UA" w:eastAsia="uk-UA"/>
        </w:rPr>
        <w:t xml:space="preserve"> звернення громадян, розроблений</w:t>
      </w:r>
      <w:r w:rsidR="008A374C" w:rsidRPr="008F029F">
        <w:rPr>
          <w:rFonts w:eastAsia="Times New Roman"/>
          <w:b/>
          <w:color w:val="auto"/>
          <w:szCs w:val="24"/>
          <w:lang w:val="uk-UA" w:eastAsia="uk-UA"/>
        </w:rPr>
        <w:t xml:space="preserve"> відповідно до вимог Закону України «Про звернення громадян» </w:t>
      </w:r>
      <w:r w:rsidR="008A374C">
        <w:rPr>
          <w:rFonts w:eastAsia="Times New Roman"/>
          <w:b/>
          <w:color w:val="auto"/>
          <w:szCs w:val="24"/>
          <w:lang w:val="uk-UA" w:eastAsia="uk-UA"/>
        </w:rPr>
        <w:t xml:space="preserve">та </w:t>
      </w:r>
      <w:r w:rsidR="008A374C" w:rsidRPr="008F029F">
        <w:rPr>
          <w:rFonts w:eastAsia="Times New Roman"/>
          <w:b/>
          <w:color w:val="auto"/>
          <w:szCs w:val="24"/>
          <w:lang w:val="uk-UA" w:eastAsia="uk-UA"/>
        </w:rPr>
        <w:t>розміщено на офіційному веб-сайті суду в посиланні  «Громадянам» - «Звернення громадян».</w:t>
      </w:r>
      <w:r w:rsidR="008A374C">
        <w:rPr>
          <w:rFonts w:eastAsia="Times New Roman"/>
          <w:b/>
          <w:color w:val="auto"/>
          <w:szCs w:val="24"/>
          <w:lang w:val="uk-UA" w:eastAsia="uk-UA"/>
        </w:rPr>
        <w:t xml:space="preserve"> </w:t>
      </w:r>
    </w:p>
    <w:p w:rsidR="00C161F6" w:rsidRDefault="00ED64C3" w:rsidP="00B25279">
      <w:pPr>
        <w:ind w:firstLine="708"/>
        <w:jc w:val="both"/>
        <w:rPr>
          <w:rFonts w:eastAsia="Times New Roman"/>
          <w:b/>
          <w:color w:val="auto"/>
          <w:szCs w:val="24"/>
          <w:lang w:val="uk-UA" w:eastAsia="uk-UA"/>
        </w:rPr>
      </w:pPr>
      <w:r>
        <w:rPr>
          <w:rFonts w:eastAsia="Times New Roman"/>
          <w:b/>
          <w:color w:val="auto"/>
          <w:szCs w:val="24"/>
          <w:lang w:val="uk-UA" w:eastAsia="uk-UA"/>
        </w:rPr>
        <w:t>На довідкових</w:t>
      </w:r>
      <w:r w:rsidR="008A374C" w:rsidRPr="008A374C">
        <w:rPr>
          <w:rFonts w:eastAsia="Times New Roman"/>
          <w:b/>
          <w:color w:val="auto"/>
          <w:szCs w:val="24"/>
          <w:lang w:val="uk-UA" w:eastAsia="uk-UA"/>
        </w:rPr>
        <w:t xml:space="preserve"> стен</w:t>
      </w:r>
      <w:r>
        <w:rPr>
          <w:rFonts w:eastAsia="Times New Roman"/>
          <w:b/>
          <w:color w:val="auto"/>
          <w:szCs w:val="24"/>
          <w:lang w:val="uk-UA" w:eastAsia="uk-UA"/>
        </w:rPr>
        <w:t xml:space="preserve">дах біля канцелярій, </w:t>
      </w:r>
      <w:r w:rsidR="008A374C">
        <w:rPr>
          <w:rFonts w:eastAsia="Times New Roman"/>
          <w:b/>
          <w:color w:val="auto"/>
          <w:szCs w:val="24"/>
          <w:lang w:val="uk-UA" w:eastAsia="uk-UA"/>
        </w:rPr>
        <w:t xml:space="preserve">в коридорах, </w:t>
      </w:r>
      <w:r w:rsidR="008A374C" w:rsidRPr="008A374C">
        <w:rPr>
          <w:rFonts w:eastAsia="Times New Roman"/>
          <w:b/>
          <w:color w:val="auto"/>
          <w:szCs w:val="24"/>
          <w:lang w:val="uk-UA" w:eastAsia="uk-UA"/>
        </w:rPr>
        <w:t>розташована</w:t>
      </w:r>
      <w:r>
        <w:rPr>
          <w:rFonts w:eastAsia="Times New Roman"/>
          <w:b/>
          <w:color w:val="auto"/>
          <w:szCs w:val="24"/>
          <w:lang w:val="uk-UA" w:eastAsia="uk-UA"/>
        </w:rPr>
        <w:t xml:space="preserve"> також  </w:t>
      </w:r>
      <w:r w:rsidR="008A374C" w:rsidRPr="008A374C">
        <w:rPr>
          <w:rFonts w:eastAsia="Times New Roman"/>
          <w:b/>
          <w:color w:val="auto"/>
          <w:szCs w:val="24"/>
          <w:lang w:val="uk-UA" w:eastAsia="uk-UA"/>
        </w:rPr>
        <w:t xml:space="preserve"> інформація щодо порядку обраховування та сплати судового збору, реквізити апеляційної та касаційної інстанції, на які потрібно сплачувати судовий збір, списки справ, призначених для розгляду в поточний день</w:t>
      </w:r>
      <w:r w:rsidR="008A374C">
        <w:rPr>
          <w:rFonts w:eastAsia="Times New Roman"/>
          <w:b/>
          <w:color w:val="auto"/>
          <w:szCs w:val="24"/>
          <w:lang w:val="uk-UA" w:eastAsia="uk-UA"/>
        </w:rPr>
        <w:t xml:space="preserve">, </w:t>
      </w:r>
      <w:r w:rsidR="008A374C" w:rsidRPr="008A374C">
        <w:rPr>
          <w:rFonts w:eastAsia="Times New Roman"/>
          <w:b/>
          <w:color w:val="auto"/>
          <w:szCs w:val="24"/>
          <w:lang w:val="uk-UA" w:eastAsia="uk-UA"/>
        </w:rPr>
        <w:t>розміщена інформація про мо</w:t>
      </w:r>
      <w:r>
        <w:rPr>
          <w:rFonts w:eastAsia="Times New Roman"/>
          <w:b/>
          <w:color w:val="auto"/>
          <w:szCs w:val="24"/>
          <w:lang w:val="uk-UA" w:eastAsia="uk-UA"/>
        </w:rPr>
        <w:t xml:space="preserve">жливість </w:t>
      </w:r>
      <w:r w:rsidR="008A374C" w:rsidRPr="008A374C">
        <w:rPr>
          <w:rFonts w:eastAsia="Times New Roman"/>
          <w:b/>
          <w:color w:val="auto"/>
          <w:szCs w:val="24"/>
          <w:lang w:val="uk-UA" w:eastAsia="uk-UA"/>
        </w:rPr>
        <w:t>отримання СМС-повідомлень</w:t>
      </w:r>
      <w:r w:rsidR="00B25279">
        <w:rPr>
          <w:rFonts w:eastAsia="Times New Roman"/>
          <w:b/>
          <w:color w:val="auto"/>
          <w:szCs w:val="24"/>
          <w:lang w:val="uk-UA" w:eastAsia="uk-UA"/>
        </w:rPr>
        <w:t xml:space="preserve">. </w:t>
      </w:r>
      <w:r w:rsidR="008A374C" w:rsidRPr="008A374C">
        <w:rPr>
          <w:rFonts w:eastAsia="Times New Roman"/>
          <w:b/>
          <w:color w:val="auto"/>
          <w:szCs w:val="24"/>
          <w:lang w:val="uk-UA" w:eastAsia="uk-UA"/>
        </w:rPr>
        <w:t xml:space="preserve">Відвідувачі суду можуть скористатися зразками типових заяв та </w:t>
      </w:r>
      <w:r w:rsidR="00B25279">
        <w:rPr>
          <w:rFonts w:eastAsia="Times New Roman"/>
          <w:b/>
          <w:color w:val="auto"/>
          <w:szCs w:val="24"/>
          <w:lang w:val="uk-UA" w:eastAsia="uk-UA"/>
        </w:rPr>
        <w:t xml:space="preserve">клопотань, розміщених </w:t>
      </w:r>
      <w:r w:rsidR="008A374C" w:rsidRPr="008A374C">
        <w:rPr>
          <w:rFonts w:eastAsia="Times New Roman"/>
          <w:b/>
          <w:color w:val="auto"/>
          <w:szCs w:val="24"/>
          <w:lang w:val="uk-UA" w:eastAsia="uk-UA"/>
        </w:rPr>
        <w:t xml:space="preserve">перед канцеляріями суду. </w:t>
      </w:r>
    </w:p>
    <w:p w:rsidR="008A374C" w:rsidRPr="00675C62" w:rsidRDefault="00652062" w:rsidP="00675C62">
      <w:pPr>
        <w:widowControl/>
        <w:suppressAutoHyphens w:val="0"/>
        <w:ind w:firstLine="708"/>
        <w:jc w:val="both"/>
        <w:rPr>
          <w:rFonts w:eastAsia="Calibri" w:cs="Calibri"/>
          <w:b/>
          <w:color w:val="auto"/>
          <w:szCs w:val="24"/>
          <w:lang w:val="uk-UA" w:eastAsia="en-US" w:bidi="uk-UA"/>
        </w:rPr>
      </w:pPr>
      <w:r w:rsidRPr="00675C62">
        <w:rPr>
          <w:rFonts w:eastAsia="Times New Roman"/>
          <w:b/>
          <w:color w:val="auto"/>
          <w:szCs w:val="24"/>
          <w:lang w:val="uk-UA" w:eastAsia="uk-UA"/>
        </w:rPr>
        <w:lastRenderedPageBreak/>
        <w:t xml:space="preserve">Згідно організованого особистого прийому громадян, керівництвом суду в звітному періоді було  зареєстровано в Журналі прийому громадян головою суду та його заступником 6 звернень, що на два звернення більше ніж у першому півріччі 2019 року.  </w:t>
      </w:r>
      <w:r w:rsidRPr="00675C62">
        <w:rPr>
          <w:rFonts w:eastAsia="Calibri" w:cs="Calibri"/>
          <w:b/>
          <w:color w:val="auto"/>
          <w:szCs w:val="24"/>
          <w:lang w:val="uk-UA" w:eastAsia="en-US" w:bidi="uk-UA"/>
        </w:rPr>
        <w:t xml:space="preserve">На особистому прийомі були розглянуті питання, що стосувалися сплати судового збору, строків скасування судового наказу, щодо дій судді, безпеки в суді, розгляду цивільної справи, направлення відповіді на письмове звернення. </w:t>
      </w:r>
      <w:r w:rsidRPr="00675C62">
        <w:rPr>
          <w:rFonts w:eastAsia="Times New Roman"/>
          <w:b/>
          <w:color w:val="auto"/>
          <w:szCs w:val="24"/>
          <w:lang w:val="uk-UA"/>
        </w:rPr>
        <w:t xml:space="preserve">Згідно журналу прийому громадян керівником апарату та його заступником за перше півріччя 2020 року зареєстровано 4 звернення, так само як у аналогічному періоді 2019 року. </w:t>
      </w:r>
    </w:p>
    <w:p w:rsidR="00B25279" w:rsidRPr="00ED64C3" w:rsidRDefault="00D53B95" w:rsidP="00B25279">
      <w:pPr>
        <w:shd w:val="clear" w:color="auto" w:fill="FFFFFF" w:themeFill="background1"/>
        <w:ind w:firstLine="708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  <w:r w:rsidRPr="00ED64C3">
        <w:rPr>
          <w:rFonts w:eastAsia="Calibri"/>
          <w:b/>
          <w:color w:val="auto"/>
          <w:szCs w:val="24"/>
          <w:lang w:val="uk-UA" w:eastAsia="en-US" w:bidi="uk-UA"/>
        </w:rPr>
        <w:t xml:space="preserve">Кількість прийнятих громадян є невеликою, що ніяким чином не обмежує їх право на звернення, а свідчить про вживання необхідних заходів для врегулювання поставлених відвідувачами питань </w:t>
      </w:r>
      <w:r w:rsidRPr="00ED64C3">
        <w:rPr>
          <w:rFonts w:eastAsia="Times New Roman"/>
          <w:b/>
          <w:color w:val="auto"/>
          <w:szCs w:val="24"/>
          <w:lang w:val="uk-UA"/>
        </w:rPr>
        <w:t xml:space="preserve">шляхом надання повних роз’яснень чинного законодавства та вичерпного вирішення проблем. </w:t>
      </w:r>
    </w:p>
    <w:p w:rsidR="00B25279" w:rsidRPr="00ED64C3" w:rsidRDefault="009A4109" w:rsidP="00675C62">
      <w:pPr>
        <w:ind w:firstLine="708"/>
        <w:contextualSpacing/>
        <w:jc w:val="both"/>
        <w:rPr>
          <w:b/>
          <w:szCs w:val="24"/>
        </w:rPr>
      </w:pPr>
      <w:proofErr w:type="spellStart"/>
      <w:r w:rsidRPr="00ED64C3">
        <w:rPr>
          <w:b/>
          <w:szCs w:val="24"/>
        </w:rPr>
        <w:t>Систематичний</w:t>
      </w:r>
      <w:proofErr w:type="spellEnd"/>
      <w:r w:rsidRPr="00ED64C3">
        <w:rPr>
          <w:b/>
          <w:szCs w:val="24"/>
        </w:rPr>
        <w:t xml:space="preserve"> </w:t>
      </w:r>
      <w:proofErr w:type="spellStart"/>
      <w:r w:rsidRPr="00ED64C3">
        <w:rPr>
          <w:b/>
          <w:szCs w:val="24"/>
        </w:rPr>
        <w:t>аналіз</w:t>
      </w:r>
      <w:proofErr w:type="spellEnd"/>
      <w:r w:rsidRPr="00ED64C3">
        <w:rPr>
          <w:b/>
          <w:szCs w:val="24"/>
        </w:rPr>
        <w:t xml:space="preserve"> та </w:t>
      </w:r>
      <w:proofErr w:type="spellStart"/>
      <w:r w:rsidRPr="00ED64C3">
        <w:rPr>
          <w:b/>
          <w:szCs w:val="24"/>
        </w:rPr>
        <w:t>узагальнення</w:t>
      </w:r>
      <w:proofErr w:type="spellEnd"/>
      <w:r w:rsidRPr="00ED64C3">
        <w:rPr>
          <w:b/>
          <w:szCs w:val="24"/>
        </w:rPr>
        <w:t xml:space="preserve"> </w:t>
      </w:r>
      <w:proofErr w:type="spellStart"/>
      <w:r w:rsidRPr="00ED64C3">
        <w:rPr>
          <w:b/>
          <w:szCs w:val="24"/>
        </w:rPr>
        <w:t>звернень</w:t>
      </w:r>
      <w:proofErr w:type="spellEnd"/>
      <w:r w:rsidRPr="00ED64C3">
        <w:rPr>
          <w:b/>
          <w:szCs w:val="24"/>
        </w:rPr>
        <w:t xml:space="preserve"> </w:t>
      </w:r>
      <w:proofErr w:type="spellStart"/>
      <w:r w:rsidRPr="00ED64C3">
        <w:rPr>
          <w:b/>
          <w:szCs w:val="24"/>
        </w:rPr>
        <w:t>громадян</w:t>
      </w:r>
      <w:proofErr w:type="spellEnd"/>
      <w:r w:rsidRPr="00ED64C3">
        <w:rPr>
          <w:b/>
          <w:szCs w:val="24"/>
        </w:rPr>
        <w:t xml:space="preserve"> проводиться в </w:t>
      </w:r>
      <w:proofErr w:type="spellStart"/>
      <w:r w:rsidRPr="00ED64C3">
        <w:rPr>
          <w:b/>
          <w:szCs w:val="24"/>
        </w:rPr>
        <w:t>суді</w:t>
      </w:r>
      <w:proofErr w:type="spellEnd"/>
      <w:r w:rsidRPr="00ED64C3">
        <w:rPr>
          <w:b/>
          <w:szCs w:val="24"/>
        </w:rPr>
        <w:t xml:space="preserve"> з метою </w:t>
      </w:r>
      <w:proofErr w:type="spellStart"/>
      <w:r w:rsidRPr="00ED64C3">
        <w:rPr>
          <w:b/>
          <w:szCs w:val="24"/>
        </w:rPr>
        <w:t>виявлення</w:t>
      </w:r>
      <w:proofErr w:type="spellEnd"/>
      <w:r w:rsidRPr="00ED64C3">
        <w:rPr>
          <w:b/>
          <w:szCs w:val="24"/>
        </w:rPr>
        <w:t xml:space="preserve"> причин, </w:t>
      </w:r>
      <w:proofErr w:type="spellStart"/>
      <w:r w:rsidRPr="00ED64C3">
        <w:rPr>
          <w:b/>
          <w:szCs w:val="24"/>
        </w:rPr>
        <w:t>що</w:t>
      </w:r>
      <w:proofErr w:type="spellEnd"/>
      <w:r w:rsidRPr="00ED64C3">
        <w:rPr>
          <w:b/>
          <w:szCs w:val="24"/>
        </w:rPr>
        <w:t xml:space="preserve"> </w:t>
      </w:r>
      <w:proofErr w:type="spellStart"/>
      <w:r w:rsidRPr="00ED64C3">
        <w:rPr>
          <w:b/>
          <w:szCs w:val="24"/>
        </w:rPr>
        <w:t>їх</w:t>
      </w:r>
      <w:proofErr w:type="spellEnd"/>
      <w:r w:rsidRPr="00ED64C3">
        <w:rPr>
          <w:b/>
          <w:szCs w:val="24"/>
        </w:rPr>
        <w:t xml:space="preserve"> </w:t>
      </w:r>
      <w:proofErr w:type="spellStart"/>
      <w:r w:rsidRPr="00ED64C3">
        <w:rPr>
          <w:b/>
          <w:szCs w:val="24"/>
        </w:rPr>
        <w:t>породжують</w:t>
      </w:r>
      <w:proofErr w:type="spellEnd"/>
      <w:r w:rsidRPr="00ED64C3">
        <w:rPr>
          <w:b/>
          <w:szCs w:val="24"/>
        </w:rPr>
        <w:t xml:space="preserve">, а </w:t>
      </w:r>
      <w:proofErr w:type="spellStart"/>
      <w:r w:rsidRPr="00ED64C3">
        <w:rPr>
          <w:b/>
          <w:szCs w:val="24"/>
        </w:rPr>
        <w:t>також</w:t>
      </w:r>
      <w:proofErr w:type="spellEnd"/>
      <w:r w:rsidRPr="00ED64C3">
        <w:rPr>
          <w:b/>
          <w:szCs w:val="24"/>
        </w:rPr>
        <w:t xml:space="preserve"> </w:t>
      </w:r>
      <w:proofErr w:type="spellStart"/>
      <w:r w:rsidRPr="00ED64C3">
        <w:rPr>
          <w:b/>
          <w:szCs w:val="24"/>
        </w:rPr>
        <w:t>найбільш</w:t>
      </w:r>
      <w:proofErr w:type="spellEnd"/>
      <w:r w:rsidRPr="00ED64C3">
        <w:rPr>
          <w:b/>
          <w:szCs w:val="24"/>
        </w:rPr>
        <w:t xml:space="preserve"> </w:t>
      </w:r>
      <w:proofErr w:type="spellStart"/>
      <w:r w:rsidRPr="00ED64C3">
        <w:rPr>
          <w:b/>
          <w:szCs w:val="24"/>
        </w:rPr>
        <w:t>гострих</w:t>
      </w:r>
      <w:proofErr w:type="spellEnd"/>
      <w:r w:rsidRPr="00ED64C3">
        <w:rPr>
          <w:b/>
          <w:szCs w:val="24"/>
        </w:rPr>
        <w:t xml:space="preserve"> </w:t>
      </w:r>
      <w:proofErr w:type="spellStart"/>
      <w:r w:rsidRPr="00ED64C3">
        <w:rPr>
          <w:b/>
          <w:szCs w:val="24"/>
        </w:rPr>
        <w:t>значущих</w:t>
      </w:r>
      <w:proofErr w:type="spellEnd"/>
      <w:r w:rsidRPr="00ED64C3">
        <w:rPr>
          <w:b/>
          <w:szCs w:val="24"/>
        </w:rPr>
        <w:t xml:space="preserve"> проблем, </w:t>
      </w:r>
      <w:proofErr w:type="spellStart"/>
      <w:r w:rsidRPr="00ED64C3">
        <w:rPr>
          <w:b/>
          <w:szCs w:val="24"/>
        </w:rPr>
        <w:t>які</w:t>
      </w:r>
      <w:proofErr w:type="spellEnd"/>
      <w:r w:rsidRPr="00ED64C3">
        <w:rPr>
          <w:b/>
          <w:szCs w:val="24"/>
        </w:rPr>
        <w:t xml:space="preserve"> </w:t>
      </w:r>
      <w:proofErr w:type="spellStart"/>
      <w:r w:rsidRPr="00ED64C3">
        <w:rPr>
          <w:b/>
          <w:szCs w:val="24"/>
        </w:rPr>
        <w:t>потребують</w:t>
      </w:r>
      <w:proofErr w:type="spellEnd"/>
      <w:r w:rsidRPr="00ED64C3">
        <w:rPr>
          <w:b/>
          <w:szCs w:val="24"/>
        </w:rPr>
        <w:t xml:space="preserve"> </w:t>
      </w:r>
      <w:proofErr w:type="spellStart"/>
      <w:r w:rsidRPr="00ED64C3">
        <w:rPr>
          <w:b/>
          <w:szCs w:val="24"/>
        </w:rPr>
        <w:t>негайного</w:t>
      </w:r>
      <w:proofErr w:type="spellEnd"/>
      <w:r w:rsidRPr="00ED64C3">
        <w:rPr>
          <w:b/>
          <w:szCs w:val="24"/>
        </w:rPr>
        <w:t xml:space="preserve"> </w:t>
      </w:r>
      <w:proofErr w:type="spellStart"/>
      <w:r w:rsidRPr="00ED64C3">
        <w:rPr>
          <w:b/>
          <w:szCs w:val="24"/>
        </w:rPr>
        <w:t>розв’язання</w:t>
      </w:r>
      <w:proofErr w:type="spellEnd"/>
      <w:r w:rsidRPr="00ED64C3">
        <w:rPr>
          <w:b/>
          <w:szCs w:val="24"/>
        </w:rPr>
        <w:t>.</w:t>
      </w:r>
    </w:p>
    <w:p w:rsidR="00B11195" w:rsidRDefault="00B11195" w:rsidP="00354673">
      <w:pPr>
        <w:ind w:firstLine="708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  <w:r w:rsidRPr="00ED64C3">
        <w:rPr>
          <w:rFonts w:eastAsia="Times New Roman"/>
          <w:b/>
          <w:color w:val="auto"/>
          <w:szCs w:val="24"/>
          <w:lang w:val="uk-UA"/>
        </w:rPr>
        <w:t>Усі письмові звернення, що надходять до суду</w:t>
      </w:r>
      <w:r w:rsidR="002B03F7" w:rsidRPr="00F720AE">
        <w:rPr>
          <w:rFonts w:eastAsia="Times New Roman"/>
          <w:b/>
          <w:color w:val="auto"/>
          <w:szCs w:val="24"/>
          <w:lang w:val="uk-UA"/>
        </w:rPr>
        <w:t xml:space="preserve"> поштою або особисто від заявників</w:t>
      </w:r>
      <w:r w:rsidRPr="00F720AE">
        <w:rPr>
          <w:rFonts w:eastAsia="Times New Roman"/>
          <w:b/>
          <w:color w:val="auto"/>
          <w:szCs w:val="24"/>
          <w:lang w:val="uk-UA"/>
        </w:rPr>
        <w:t>, реєструються в той же день в автоматизованій системі докуме</w:t>
      </w:r>
      <w:r w:rsidR="00205B35" w:rsidRPr="00F720AE">
        <w:rPr>
          <w:rFonts w:eastAsia="Times New Roman"/>
          <w:b/>
          <w:color w:val="auto"/>
          <w:szCs w:val="24"/>
          <w:lang w:val="uk-UA"/>
        </w:rPr>
        <w:t>нтообігу суду</w:t>
      </w:r>
      <w:r w:rsidRPr="00F720AE">
        <w:rPr>
          <w:rFonts w:eastAsia="Times New Roman"/>
          <w:b/>
          <w:color w:val="auto"/>
          <w:szCs w:val="24"/>
          <w:lang w:val="uk-UA"/>
        </w:rPr>
        <w:t>, у журналі реєс</w:t>
      </w:r>
      <w:r w:rsidR="00205B35" w:rsidRPr="00F720AE">
        <w:rPr>
          <w:rFonts w:eastAsia="Times New Roman"/>
          <w:b/>
          <w:color w:val="auto"/>
          <w:szCs w:val="24"/>
          <w:lang w:val="uk-UA"/>
        </w:rPr>
        <w:t xml:space="preserve">трації звернень </w:t>
      </w:r>
      <w:r w:rsidRPr="00F720AE">
        <w:rPr>
          <w:rFonts w:eastAsia="Times New Roman"/>
          <w:b/>
          <w:color w:val="auto"/>
          <w:szCs w:val="24"/>
          <w:lang w:val="uk-UA"/>
        </w:rPr>
        <w:t>громадян</w:t>
      </w:r>
      <w:r w:rsidR="00205B35" w:rsidRPr="00F720AE">
        <w:rPr>
          <w:rFonts w:eastAsia="Times New Roman"/>
          <w:b/>
          <w:color w:val="auto"/>
          <w:szCs w:val="24"/>
          <w:lang w:val="uk-UA"/>
        </w:rPr>
        <w:t xml:space="preserve"> та організацій, </w:t>
      </w:r>
      <w:r w:rsidRPr="00F720AE">
        <w:rPr>
          <w:rFonts w:eastAsia="Times New Roman"/>
          <w:b/>
          <w:color w:val="auto"/>
          <w:szCs w:val="24"/>
          <w:lang w:val="uk-UA"/>
        </w:rPr>
        <w:t xml:space="preserve">у алфавітному покажчику реєстрації звернень громадян та </w:t>
      </w:r>
      <w:r w:rsidR="00205B35" w:rsidRPr="00F720AE">
        <w:rPr>
          <w:rFonts w:eastAsia="Times New Roman"/>
          <w:b/>
          <w:color w:val="auto"/>
          <w:szCs w:val="24"/>
          <w:lang w:val="uk-UA"/>
        </w:rPr>
        <w:t>організацій або у журналі обліку звернень</w:t>
      </w:r>
      <w:r w:rsidR="002A708E">
        <w:rPr>
          <w:rFonts w:eastAsia="Times New Roman"/>
          <w:b/>
          <w:color w:val="auto"/>
          <w:szCs w:val="24"/>
          <w:lang w:val="uk-UA"/>
        </w:rPr>
        <w:t xml:space="preserve"> та запитів народних депутатів.</w:t>
      </w:r>
    </w:p>
    <w:p w:rsidR="004E24EF" w:rsidRDefault="00F95670" w:rsidP="00F95670">
      <w:pPr>
        <w:ind w:firstLine="708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  <w:r w:rsidRPr="00F720AE">
        <w:rPr>
          <w:rFonts w:eastAsia="Times New Roman"/>
          <w:b/>
          <w:color w:val="auto"/>
          <w:szCs w:val="24"/>
          <w:lang w:val="uk-UA"/>
        </w:rPr>
        <w:t xml:space="preserve">За суб’єктом звернення </w:t>
      </w:r>
      <w:r>
        <w:rPr>
          <w:rFonts w:eastAsia="Times New Roman"/>
          <w:b/>
          <w:color w:val="auto"/>
          <w:szCs w:val="24"/>
          <w:lang w:val="uk-UA"/>
        </w:rPr>
        <w:t>за перше півріччя 2020 року зареєстровано</w:t>
      </w:r>
      <w:r w:rsidRPr="00F720AE">
        <w:rPr>
          <w:rFonts w:eastAsia="Times New Roman"/>
          <w:b/>
          <w:color w:val="auto"/>
          <w:szCs w:val="24"/>
          <w:lang w:val="uk-UA"/>
        </w:rPr>
        <w:t xml:space="preserve"> </w:t>
      </w:r>
      <w:r>
        <w:rPr>
          <w:rFonts w:eastAsia="Times New Roman"/>
          <w:b/>
          <w:color w:val="auto"/>
          <w:szCs w:val="24"/>
          <w:lang w:val="uk-UA"/>
        </w:rPr>
        <w:t>11</w:t>
      </w:r>
      <w:r w:rsidR="00824618">
        <w:rPr>
          <w:rFonts w:eastAsia="Times New Roman"/>
          <w:b/>
          <w:color w:val="auto"/>
          <w:szCs w:val="24"/>
          <w:lang w:val="uk-UA"/>
        </w:rPr>
        <w:t xml:space="preserve"> (100%) індивідуальних звернень.</w:t>
      </w:r>
      <w:r>
        <w:rPr>
          <w:rFonts w:eastAsia="Times New Roman"/>
          <w:b/>
          <w:color w:val="auto"/>
          <w:szCs w:val="24"/>
          <w:lang w:val="uk-UA"/>
        </w:rPr>
        <w:t xml:space="preserve"> </w:t>
      </w:r>
      <w:r w:rsidR="00824618">
        <w:rPr>
          <w:rFonts w:eastAsia="Times New Roman"/>
          <w:b/>
          <w:color w:val="auto"/>
          <w:szCs w:val="24"/>
          <w:lang w:val="uk-UA"/>
        </w:rPr>
        <w:t>З</w:t>
      </w:r>
      <w:r w:rsidR="001A0CBA">
        <w:rPr>
          <w:rFonts w:eastAsia="Times New Roman"/>
          <w:b/>
          <w:color w:val="auto"/>
          <w:szCs w:val="24"/>
          <w:lang w:val="uk-UA"/>
        </w:rPr>
        <w:t>а перше півріччя 2019 року</w:t>
      </w:r>
      <w:r w:rsidR="002A708E">
        <w:rPr>
          <w:rFonts w:eastAsia="Times New Roman"/>
          <w:b/>
          <w:color w:val="auto"/>
          <w:szCs w:val="24"/>
          <w:lang w:val="uk-UA"/>
        </w:rPr>
        <w:t xml:space="preserve"> зареєстровано</w:t>
      </w:r>
      <w:r w:rsidR="004E24EF" w:rsidRPr="00F720AE">
        <w:rPr>
          <w:rFonts w:eastAsia="Times New Roman"/>
          <w:b/>
          <w:color w:val="auto"/>
          <w:szCs w:val="24"/>
          <w:lang w:val="uk-UA"/>
        </w:rPr>
        <w:t xml:space="preserve"> </w:t>
      </w:r>
      <w:r w:rsidR="002A708E">
        <w:rPr>
          <w:rFonts w:eastAsia="Times New Roman"/>
          <w:b/>
          <w:color w:val="auto"/>
          <w:szCs w:val="24"/>
          <w:lang w:val="uk-UA"/>
        </w:rPr>
        <w:t xml:space="preserve">16 </w:t>
      </w:r>
      <w:r w:rsidR="001A0CBA">
        <w:rPr>
          <w:rFonts w:eastAsia="Times New Roman"/>
          <w:b/>
          <w:color w:val="auto"/>
          <w:szCs w:val="24"/>
          <w:lang w:val="uk-UA"/>
        </w:rPr>
        <w:t xml:space="preserve"> (94%) індивідуальних звернень та 1 (6%) звернення колективне. </w:t>
      </w:r>
    </w:p>
    <w:p w:rsidR="006B0312" w:rsidRDefault="00F95670" w:rsidP="00F95670">
      <w:pPr>
        <w:ind w:firstLine="708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  <w:r>
        <w:rPr>
          <w:rFonts w:eastAsia="Times New Roman"/>
          <w:b/>
          <w:color w:val="auto"/>
          <w:szCs w:val="24"/>
          <w:lang w:val="uk-UA"/>
        </w:rPr>
        <w:t>За видами звернень</w:t>
      </w:r>
      <w:r w:rsidRPr="00F720AE">
        <w:rPr>
          <w:rFonts w:eastAsia="Times New Roman"/>
          <w:b/>
          <w:color w:val="auto"/>
          <w:szCs w:val="24"/>
          <w:lang w:val="uk-UA"/>
        </w:rPr>
        <w:t xml:space="preserve"> з</w:t>
      </w:r>
      <w:r>
        <w:rPr>
          <w:rFonts w:eastAsia="Times New Roman"/>
          <w:b/>
          <w:color w:val="auto"/>
          <w:szCs w:val="24"/>
          <w:lang w:val="uk-UA"/>
        </w:rPr>
        <w:t>а перше півріччя 2020</w:t>
      </w:r>
      <w:r w:rsidRPr="00F720AE">
        <w:rPr>
          <w:rFonts w:eastAsia="Times New Roman"/>
          <w:b/>
          <w:color w:val="auto"/>
          <w:szCs w:val="24"/>
          <w:lang w:val="uk-UA"/>
        </w:rPr>
        <w:t xml:space="preserve"> року зареє</w:t>
      </w:r>
      <w:r>
        <w:rPr>
          <w:rFonts w:eastAsia="Times New Roman"/>
          <w:b/>
          <w:color w:val="auto"/>
          <w:szCs w:val="24"/>
          <w:lang w:val="uk-UA"/>
        </w:rPr>
        <w:t>стровано 2</w:t>
      </w:r>
      <w:r w:rsidRPr="00F720AE">
        <w:rPr>
          <w:rFonts w:eastAsia="Times New Roman"/>
          <w:b/>
          <w:color w:val="auto"/>
          <w:szCs w:val="24"/>
          <w:lang w:val="uk-UA"/>
        </w:rPr>
        <w:t xml:space="preserve"> скарги</w:t>
      </w:r>
      <w:r>
        <w:rPr>
          <w:rFonts w:eastAsia="Times New Roman"/>
          <w:b/>
          <w:color w:val="auto"/>
          <w:szCs w:val="24"/>
          <w:lang w:val="uk-UA"/>
        </w:rPr>
        <w:t xml:space="preserve"> (18</w:t>
      </w:r>
      <w:r w:rsidRPr="00F720AE">
        <w:rPr>
          <w:rFonts w:eastAsia="Times New Roman"/>
          <w:b/>
          <w:color w:val="auto"/>
          <w:szCs w:val="24"/>
          <w:lang w:val="uk-UA"/>
        </w:rPr>
        <w:t>%)</w:t>
      </w:r>
      <w:r>
        <w:rPr>
          <w:rFonts w:eastAsia="Times New Roman"/>
          <w:b/>
          <w:color w:val="auto"/>
          <w:szCs w:val="24"/>
          <w:lang w:val="uk-UA"/>
        </w:rPr>
        <w:t xml:space="preserve"> та 9</w:t>
      </w:r>
      <w:r w:rsidRPr="00F720AE">
        <w:rPr>
          <w:rFonts w:eastAsia="Times New Roman"/>
          <w:b/>
          <w:color w:val="auto"/>
          <w:szCs w:val="24"/>
          <w:lang w:val="uk-UA"/>
        </w:rPr>
        <w:t xml:space="preserve"> заяв</w:t>
      </w:r>
      <w:r>
        <w:rPr>
          <w:rFonts w:eastAsia="Times New Roman"/>
          <w:b/>
          <w:color w:val="auto"/>
          <w:szCs w:val="24"/>
          <w:lang w:val="uk-UA"/>
        </w:rPr>
        <w:t xml:space="preserve"> (82</w:t>
      </w:r>
      <w:r w:rsidRPr="00F720AE">
        <w:rPr>
          <w:rFonts w:eastAsia="Times New Roman"/>
          <w:b/>
          <w:color w:val="auto"/>
          <w:szCs w:val="24"/>
          <w:lang w:val="uk-UA"/>
        </w:rPr>
        <w:t>%)</w:t>
      </w:r>
      <w:r>
        <w:rPr>
          <w:rFonts w:eastAsia="Times New Roman"/>
          <w:b/>
          <w:color w:val="auto"/>
          <w:szCs w:val="24"/>
          <w:lang w:val="uk-UA"/>
        </w:rPr>
        <w:t xml:space="preserve">, </w:t>
      </w:r>
      <w:r w:rsidR="008220B4" w:rsidRPr="00F720AE">
        <w:rPr>
          <w:rFonts w:eastAsia="Times New Roman"/>
          <w:b/>
          <w:color w:val="auto"/>
          <w:szCs w:val="24"/>
          <w:lang w:val="uk-UA"/>
        </w:rPr>
        <w:t>з</w:t>
      </w:r>
      <w:r w:rsidR="008220B4">
        <w:rPr>
          <w:rFonts w:eastAsia="Times New Roman"/>
          <w:b/>
          <w:color w:val="auto"/>
          <w:szCs w:val="24"/>
          <w:lang w:val="uk-UA"/>
        </w:rPr>
        <w:t>а перше півріччя 2019</w:t>
      </w:r>
      <w:r w:rsidR="008220B4" w:rsidRPr="00F720AE">
        <w:rPr>
          <w:rFonts w:eastAsia="Times New Roman"/>
          <w:b/>
          <w:color w:val="auto"/>
          <w:szCs w:val="24"/>
          <w:lang w:val="uk-UA"/>
        </w:rPr>
        <w:t xml:space="preserve"> року зареє</w:t>
      </w:r>
      <w:r w:rsidR="008220B4">
        <w:rPr>
          <w:rFonts w:eastAsia="Times New Roman"/>
          <w:b/>
          <w:color w:val="auto"/>
          <w:szCs w:val="24"/>
          <w:lang w:val="uk-UA"/>
        </w:rPr>
        <w:t>стровано 3</w:t>
      </w:r>
      <w:r w:rsidR="008220B4" w:rsidRPr="00F720AE">
        <w:rPr>
          <w:rFonts w:eastAsia="Times New Roman"/>
          <w:b/>
          <w:color w:val="auto"/>
          <w:szCs w:val="24"/>
          <w:lang w:val="uk-UA"/>
        </w:rPr>
        <w:t xml:space="preserve"> скарги</w:t>
      </w:r>
      <w:r w:rsidR="008220B4">
        <w:rPr>
          <w:rFonts w:eastAsia="Times New Roman"/>
          <w:b/>
          <w:color w:val="auto"/>
          <w:szCs w:val="24"/>
          <w:lang w:val="uk-UA"/>
        </w:rPr>
        <w:t xml:space="preserve"> (18</w:t>
      </w:r>
      <w:r w:rsidR="008220B4" w:rsidRPr="00F720AE">
        <w:rPr>
          <w:rFonts w:eastAsia="Times New Roman"/>
          <w:b/>
          <w:color w:val="auto"/>
          <w:szCs w:val="24"/>
          <w:lang w:val="uk-UA"/>
        </w:rPr>
        <w:t>%)</w:t>
      </w:r>
      <w:r w:rsidR="008220B4">
        <w:rPr>
          <w:rFonts w:eastAsia="Times New Roman"/>
          <w:b/>
          <w:color w:val="auto"/>
          <w:szCs w:val="24"/>
          <w:lang w:val="uk-UA"/>
        </w:rPr>
        <w:t xml:space="preserve"> та 14</w:t>
      </w:r>
      <w:r w:rsidR="008220B4" w:rsidRPr="00F720AE">
        <w:rPr>
          <w:rFonts w:eastAsia="Times New Roman"/>
          <w:b/>
          <w:color w:val="auto"/>
          <w:szCs w:val="24"/>
          <w:lang w:val="uk-UA"/>
        </w:rPr>
        <w:t xml:space="preserve"> заяв</w:t>
      </w:r>
      <w:r w:rsidR="008220B4">
        <w:rPr>
          <w:rFonts w:eastAsia="Times New Roman"/>
          <w:b/>
          <w:color w:val="auto"/>
          <w:szCs w:val="24"/>
          <w:lang w:val="uk-UA"/>
        </w:rPr>
        <w:t xml:space="preserve"> (82</w:t>
      </w:r>
      <w:r w:rsidR="008220B4" w:rsidRPr="00F720AE">
        <w:rPr>
          <w:rFonts w:eastAsia="Times New Roman"/>
          <w:b/>
          <w:color w:val="auto"/>
          <w:szCs w:val="24"/>
          <w:lang w:val="uk-UA"/>
        </w:rPr>
        <w:t>%)</w:t>
      </w:r>
      <w:r>
        <w:rPr>
          <w:rFonts w:eastAsia="Times New Roman"/>
          <w:b/>
          <w:color w:val="auto"/>
          <w:szCs w:val="24"/>
          <w:lang w:val="uk-UA"/>
        </w:rPr>
        <w:t>.</w:t>
      </w:r>
    </w:p>
    <w:p w:rsidR="00E65523" w:rsidRDefault="00E65523" w:rsidP="00F95670">
      <w:pPr>
        <w:ind w:firstLine="708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</w:p>
    <w:p w:rsidR="00E65523" w:rsidRPr="00E65523" w:rsidRDefault="00E65523" w:rsidP="00E65523">
      <w:pPr>
        <w:ind w:firstLine="708"/>
        <w:contextualSpacing/>
        <w:jc w:val="center"/>
        <w:rPr>
          <w:rFonts w:eastAsia="Times New Roman"/>
          <w:b/>
          <w:color w:val="auto"/>
          <w:szCs w:val="24"/>
          <w:lang w:val="uk-UA"/>
        </w:rPr>
      </w:pPr>
      <w:r w:rsidRPr="00E65523">
        <w:rPr>
          <w:rFonts w:eastAsia="Times New Roman"/>
          <w:b/>
          <w:color w:val="auto"/>
          <w:szCs w:val="24"/>
          <w:lang w:val="uk-UA"/>
        </w:rPr>
        <w:t>Надходження звернень громадян у першому півріччі 2020 року у порівнянні</w:t>
      </w:r>
    </w:p>
    <w:p w:rsidR="00E65523" w:rsidRPr="00E65523" w:rsidRDefault="00E65523" w:rsidP="00E65523">
      <w:pPr>
        <w:ind w:firstLine="708"/>
        <w:contextualSpacing/>
        <w:jc w:val="center"/>
        <w:rPr>
          <w:rFonts w:eastAsia="Times New Roman"/>
          <w:b/>
          <w:color w:val="auto"/>
          <w:szCs w:val="24"/>
          <w:lang w:val="uk-UA"/>
        </w:rPr>
      </w:pPr>
      <w:r w:rsidRPr="00E65523">
        <w:rPr>
          <w:rFonts w:eastAsia="Times New Roman"/>
          <w:b/>
          <w:color w:val="auto"/>
          <w:szCs w:val="24"/>
          <w:lang w:val="uk-UA"/>
        </w:rPr>
        <w:t>з першим півріччям 2019 року.</w:t>
      </w:r>
    </w:p>
    <w:p w:rsidR="00E65523" w:rsidRPr="00E65523" w:rsidRDefault="00E65523" w:rsidP="00E65523">
      <w:pPr>
        <w:ind w:firstLine="708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</w:p>
    <w:p w:rsidR="00E65523" w:rsidRPr="00E65523" w:rsidRDefault="00E65523" w:rsidP="00E65523">
      <w:pPr>
        <w:ind w:firstLine="708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  <w:r>
        <w:rPr>
          <w:rFonts w:eastAsia="Times New Roman"/>
          <w:b/>
          <w:noProof/>
          <w:color w:val="auto"/>
          <w:szCs w:val="24"/>
          <w:lang w:val="uk-UA" w:eastAsia="uk-UA"/>
        </w:rPr>
        <w:drawing>
          <wp:inline distT="0" distB="0" distL="0" distR="0" wp14:anchorId="135E2886">
            <wp:extent cx="2505710" cy="200596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noProof/>
          <w:color w:val="auto"/>
          <w:szCs w:val="24"/>
          <w:lang w:val="uk-UA" w:eastAsia="uk-UA"/>
        </w:rPr>
        <w:drawing>
          <wp:inline distT="0" distB="0" distL="0" distR="0" wp14:anchorId="69903399">
            <wp:extent cx="2377440" cy="200596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523" w:rsidRPr="00F720AE" w:rsidRDefault="00E65523" w:rsidP="00E65523">
      <w:pPr>
        <w:ind w:firstLine="708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  <w:r w:rsidRPr="00E65523">
        <w:rPr>
          <w:rFonts w:eastAsia="Times New Roman"/>
          <w:b/>
          <w:color w:val="auto"/>
          <w:szCs w:val="24"/>
          <w:lang w:val="uk-UA"/>
        </w:rPr>
        <w:t xml:space="preserve">     </w:t>
      </w:r>
    </w:p>
    <w:p w:rsidR="00D20648" w:rsidRPr="00E65523" w:rsidRDefault="00D20648" w:rsidP="00E65523">
      <w:pPr>
        <w:ind w:firstLine="708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</w:p>
    <w:p w:rsidR="004E24EF" w:rsidRDefault="004E24EF" w:rsidP="00354673">
      <w:pPr>
        <w:shd w:val="clear" w:color="auto" w:fill="FFFFFF"/>
        <w:spacing w:after="150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  <w:r>
        <w:rPr>
          <w:rFonts w:eastAsia="Times New Roman"/>
          <w:b/>
          <w:color w:val="auto"/>
          <w:szCs w:val="24"/>
          <w:lang w:val="uk-UA"/>
        </w:rPr>
        <w:tab/>
      </w:r>
      <w:r w:rsidR="002A708E">
        <w:rPr>
          <w:rFonts w:eastAsia="Times New Roman"/>
          <w:b/>
          <w:color w:val="auto"/>
          <w:szCs w:val="24"/>
          <w:lang w:val="uk-UA"/>
        </w:rPr>
        <w:t xml:space="preserve">За ознакою надходження </w:t>
      </w:r>
      <w:r w:rsidRPr="004E24EF">
        <w:rPr>
          <w:rFonts w:eastAsia="Times New Roman"/>
          <w:b/>
          <w:color w:val="auto"/>
          <w:szCs w:val="24"/>
          <w:lang w:val="uk-UA"/>
        </w:rPr>
        <w:t xml:space="preserve"> всі </w:t>
      </w:r>
      <w:r w:rsidR="00711ED5">
        <w:rPr>
          <w:rFonts w:eastAsia="Times New Roman"/>
          <w:b/>
          <w:color w:val="auto"/>
          <w:szCs w:val="24"/>
          <w:lang w:val="uk-UA"/>
        </w:rPr>
        <w:t xml:space="preserve"> 11 звернень за 2020</w:t>
      </w:r>
      <w:r w:rsidR="008220B4">
        <w:rPr>
          <w:rFonts w:eastAsia="Times New Roman"/>
          <w:b/>
          <w:color w:val="auto"/>
          <w:szCs w:val="24"/>
          <w:lang w:val="uk-UA"/>
        </w:rPr>
        <w:t xml:space="preserve"> рік та </w:t>
      </w:r>
      <w:r w:rsidR="00711ED5">
        <w:rPr>
          <w:rFonts w:eastAsia="Times New Roman"/>
          <w:b/>
          <w:color w:val="auto"/>
          <w:szCs w:val="24"/>
          <w:lang w:val="uk-UA"/>
        </w:rPr>
        <w:t>17</w:t>
      </w:r>
      <w:r w:rsidRPr="004E24EF">
        <w:rPr>
          <w:rFonts w:eastAsia="Times New Roman"/>
          <w:b/>
          <w:color w:val="auto"/>
          <w:szCs w:val="24"/>
          <w:lang w:val="uk-UA"/>
        </w:rPr>
        <w:t xml:space="preserve"> звернень</w:t>
      </w:r>
      <w:r w:rsidR="00711ED5">
        <w:rPr>
          <w:rFonts w:eastAsia="Times New Roman"/>
          <w:b/>
          <w:color w:val="auto"/>
          <w:szCs w:val="24"/>
          <w:lang w:val="uk-UA"/>
        </w:rPr>
        <w:t xml:space="preserve"> за 2019</w:t>
      </w:r>
      <w:r>
        <w:rPr>
          <w:rFonts w:eastAsia="Times New Roman"/>
          <w:b/>
          <w:color w:val="auto"/>
          <w:szCs w:val="24"/>
          <w:lang w:val="uk-UA"/>
        </w:rPr>
        <w:t xml:space="preserve"> рік </w:t>
      </w:r>
      <w:r w:rsidRPr="004E24EF">
        <w:rPr>
          <w:rFonts w:eastAsia="Times New Roman"/>
          <w:b/>
          <w:color w:val="auto"/>
          <w:szCs w:val="24"/>
          <w:lang w:val="uk-UA"/>
        </w:rPr>
        <w:t xml:space="preserve"> -</w:t>
      </w:r>
      <w:r>
        <w:rPr>
          <w:rFonts w:eastAsia="Times New Roman"/>
          <w:b/>
          <w:color w:val="auto"/>
          <w:szCs w:val="24"/>
          <w:lang w:val="uk-UA"/>
        </w:rPr>
        <w:t xml:space="preserve"> </w:t>
      </w:r>
      <w:r w:rsidRPr="00247859">
        <w:rPr>
          <w:rFonts w:eastAsia="Times New Roman"/>
          <w:b/>
          <w:color w:val="auto"/>
          <w:szCs w:val="24"/>
          <w:lang w:val="uk-UA"/>
        </w:rPr>
        <w:t>первинні.</w:t>
      </w:r>
    </w:p>
    <w:p w:rsidR="00711ED5" w:rsidRPr="00247859" w:rsidRDefault="00711ED5" w:rsidP="00FD0AAE">
      <w:pPr>
        <w:shd w:val="clear" w:color="auto" w:fill="FFFFFF"/>
        <w:spacing w:after="150"/>
        <w:ind w:firstLine="708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  <w:r>
        <w:rPr>
          <w:rFonts w:eastAsia="Times New Roman"/>
          <w:b/>
          <w:color w:val="auto"/>
          <w:szCs w:val="24"/>
          <w:lang w:val="uk-UA"/>
        </w:rPr>
        <w:t xml:space="preserve">Одним з критеріїв якості роботи зі зверненнями громадян </w:t>
      </w:r>
      <w:r w:rsidRPr="00711ED5">
        <w:rPr>
          <w:rFonts w:eastAsia="Times New Roman"/>
          <w:b/>
          <w:color w:val="auto"/>
          <w:szCs w:val="24"/>
          <w:lang w:val="uk-UA"/>
        </w:rPr>
        <w:t xml:space="preserve">є зменшення кількості скарг, </w:t>
      </w:r>
      <w:r>
        <w:rPr>
          <w:rFonts w:eastAsia="Times New Roman"/>
          <w:b/>
          <w:color w:val="auto"/>
          <w:szCs w:val="24"/>
          <w:lang w:val="uk-UA"/>
        </w:rPr>
        <w:t xml:space="preserve">відсутність </w:t>
      </w:r>
      <w:r w:rsidRPr="00711ED5">
        <w:rPr>
          <w:rFonts w:eastAsia="Times New Roman"/>
          <w:b/>
          <w:color w:val="auto"/>
          <w:szCs w:val="24"/>
          <w:lang w:val="uk-UA"/>
        </w:rPr>
        <w:t xml:space="preserve">повторних звернень та звернень до органів державної влади вищого рівня. Саме на це спрямована увага керівництва </w:t>
      </w:r>
      <w:r w:rsidR="00675C62">
        <w:rPr>
          <w:rFonts w:eastAsia="Times New Roman"/>
          <w:b/>
          <w:color w:val="auto"/>
          <w:szCs w:val="24"/>
          <w:lang w:val="uk-UA"/>
        </w:rPr>
        <w:t xml:space="preserve">суду. </w:t>
      </w:r>
      <w:r w:rsidR="00FD0AAE">
        <w:rPr>
          <w:rFonts w:eastAsia="Times New Roman"/>
          <w:b/>
          <w:color w:val="auto"/>
          <w:szCs w:val="24"/>
          <w:lang w:val="uk-UA"/>
        </w:rPr>
        <w:t>Звітність надає повну, неупереджену та достовірну інформацію про поточний стан і результати роботи зі зверненнями громадян.</w:t>
      </w:r>
    </w:p>
    <w:p w:rsidR="00BF2F36" w:rsidRPr="008220B4" w:rsidRDefault="00D20648" w:rsidP="00786C3C">
      <w:pPr>
        <w:jc w:val="both"/>
        <w:rPr>
          <w:rFonts w:eastAsiaTheme="minorHAnsi"/>
          <w:b/>
          <w:color w:val="auto"/>
          <w:sz w:val="22"/>
          <w:szCs w:val="22"/>
          <w:lang w:val="uk-UA" w:eastAsia="en-US"/>
        </w:rPr>
      </w:pPr>
      <w:r w:rsidRPr="00247859">
        <w:rPr>
          <w:rFonts w:eastAsia="Times New Roman"/>
          <w:b/>
          <w:color w:val="3A3A3A"/>
          <w:szCs w:val="24"/>
          <w:lang w:val="uk-UA" w:eastAsia="uk-UA"/>
        </w:rPr>
        <w:tab/>
      </w:r>
      <w:r w:rsidR="00786C3C" w:rsidRPr="00247859">
        <w:rPr>
          <w:rFonts w:eastAsia="Times New Roman"/>
          <w:b/>
          <w:color w:val="auto"/>
          <w:szCs w:val="24"/>
          <w:lang w:val="uk-UA" w:eastAsia="uk-UA"/>
        </w:rPr>
        <w:t xml:space="preserve">За категоріями заявників : </w:t>
      </w:r>
      <w:r w:rsidR="00BF2F36" w:rsidRPr="00247859">
        <w:rPr>
          <w:rFonts w:eastAsia="Times New Roman"/>
          <w:b/>
          <w:color w:val="auto"/>
          <w:szCs w:val="24"/>
          <w:lang w:val="uk-UA" w:eastAsia="uk-UA"/>
        </w:rPr>
        <w:t xml:space="preserve">звернення від </w:t>
      </w:r>
      <w:r w:rsidR="00786C3C" w:rsidRPr="00247859">
        <w:rPr>
          <w:rFonts w:eastAsiaTheme="minorHAnsi"/>
          <w:b/>
          <w:color w:val="auto"/>
          <w:szCs w:val="24"/>
          <w:lang w:val="uk-UA" w:eastAsia="en-US"/>
        </w:rPr>
        <w:t xml:space="preserve"> учасників війни, інвалідів війни, </w:t>
      </w:r>
      <w:r w:rsidR="00786C3C" w:rsidRPr="00247859">
        <w:rPr>
          <w:rFonts w:eastAsiaTheme="minorHAnsi"/>
          <w:b/>
          <w:color w:val="auto"/>
          <w:szCs w:val="24"/>
          <w:lang w:val="uk-UA" w:eastAsia="en-US"/>
        </w:rPr>
        <w:lastRenderedPageBreak/>
        <w:t>учасників бойових дій,</w:t>
      </w:r>
      <w:r w:rsidR="00A7643C" w:rsidRPr="00247859">
        <w:rPr>
          <w:b/>
          <w:color w:val="auto"/>
          <w:szCs w:val="24"/>
          <w:lang w:val="uk-UA"/>
        </w:rPr>
        <w:t xml:space="preserve"> героїв України, </w:t>
      </w:r>
      <w:r w:rsidR="00786C3C" w:rsidRPr="00247859">
        <w:rPr>
          <w:rFonts w:eastAsiaTheme="minorHAnsi"/>
          <w:b/>
          <w:color w:val="auto"/>
          <w:szCs w:val="24"/>
          <w:lang w:val="uk-UA" w:eastAsia="en-US"/>
        </w:rPr>
        <w:t xml:space="preserve"> ветеранів праці, одиноких  матерів; </w:t>
      </w:r>
      <w:r w:rsidR="00786C3C" w:rsidRPr="00247859">
        <w:rPr>
          <w:rFonts w:eastAsia="Times New Roman"/>
          <w:b/>
          <w:color w:val="auto"/>
          <w:szCs w:val="24"/>
          <w:lang w:val="uk-UA" w:eastAsia="uk-UA"/>
        </w:rPr>
        <w:t>матерів-героїнь</w:t>
      </w:r>
      <w:r w:rsidR="00A7643C" w:rsidRPr="00247859">
        <w:rPr>
          <w:rFonts w:eastAsia="Times New Roman"/>
          <w:b/>
          <w:color w:val="auto"/>
          <w:szCs w:val="24"/>
          <w:lang w:val="uk-UA" w:eastAsia="uk-UA"/>
        </w:rPr>
        <w:t>,</w:t>
      </w:r>
      <w:r w:rsidR="00247859" w:rsidRPr="00247859">
        <w:rPr>
          <w:b/>
          <w:color w:val="auto"/>
          <w:szCs w:val="24"/>
          <w:lang w:val="uk-UA"/>
        </w:rPr>
        <w:t xml:space="preserve"> багатодітних родин </w:t>
      </w:r>
      <w:r w:rsidR="00BF2F36" w:rsidRPr="00247859">
        <w:rPr>
          <w:rFonts w:eastAsia="Times New Roman"/>
          <w:b/>
          <w:color w:val="auto"/>
          <w:szCs w:val="24"/>
          <w:lang w:val="uk-UA" w:eastAsia="uk-UA"/>
        </w:rPr>
        <w:t>до суду протяг</w:t>
      </w:r>
      <w:r w:rsidR="004F6497" w:rsidRPr="00247859">
        <w:rPr>
          <w:rFonts w:eastAsia="Times New Roman"/>
          <w:b/>
          <w:color w:val="auto"/>
          <w:szCs w:val="24"/>
          <w:lang w:val="uk-UA" w:eastAsia="uk-UA"/>
        </w:rPr>
        <w:t>ом звітного</w:t>
      </w:r>
      <w:r w:rsidR="004F6497" w:rsidRPr="008220B4">
        <w:rPr>
          <w:rFonts w:eastAsia="Times New Roman"/>
          <w:b/>
          <w:color w:val="auto"/>
          <w:szCs w:val="24"/>
          <w:lang w:val="uk-UA" w:eastAsia="uk-UA"/>
        </w:rPr>
        <w:t xml:space="preserve"> періоду не надходили</w:t>
      </w:r>
      <w:r w:rsidR="00BF2F36" w:rsidRPr="008220B4">
        <w:rPr>
          <w:rFonts w:eastAsia="Times New Roman"/>
          <w:b/>
          <w:color w:val="auto"/>
          <w:szCs w:val="24"/>
          <w:lang w:val="uk-UA" w:eastAsia="uk-UA"/>
        </w:rPr>
        <w:t>.</w:t>
      </w:r>
      <w:r w:rsidR="00247859">
        <w:rPr>
          <w:rFonts w:eastAsia="Times New Roman"/>
          <w:b/>
          <w:color w:val="auto"/>
          <w:szCs w:val="24"/>
          <w:lang w:val="uk-UA" w:eastAsia="uk-UA"/>
        </w:rPr>
        <w:t xml:space="preserve"> </w:t>
      </w:r>
      <w:r w:rsidR="00824618">
        <w:rPr>
          <w:rFonts w:eastAsia="Times New Roman"/>
          <w:b/>
          <w:color w:val="auto"/>
          <w:szCs w:val="24"/>
          <w:lang w:val="uk-UA" w:eastAsia="uk-UA"/>
        </w:rPr>
        <w:t xml:space="preserve">В першому півріччі </w:t>
      </w:r>
      <w:r w:rsidR="00F304A9">
        <w:rPr>
          <w:rFonts w:eastAsia="Times New Roman"/>
          <w:b/>
          <w:color w:val="auto"/>
          <w:szCs w:val="24"/>
          <w:lang w:val="uk-UA" w:eastAsia="uk-UA"/>
        </w:rPr>
        <w:t>2020 року</w:t>
      </w:r>
      <w:r w:rsidR="00824618">
        <w:rPr>
          <w:rFonts w:eastAsia="Times New Roman"/>
          <w:b/>
          <w:color w:val="auto"/>
          <w:szCs w:val="24"/>
          <w:lang w:val="uk-UA" w:eastAsia="uk-UA"/>
        </w:rPr>
        <w:t>, так само як у першому півріччі 2019 року,</w:t>
      </w:r>
      <w:r w:rsidR="00F304A9">
        <w:rPr>
          <w:rFonts w:eastAsia="Times New Roman"/>
          <w:b/>
          <w:color w:val="auto"/>
          <w:szCs w:val="24"/>
          <w:lang w:val="uk-UA" w:eastAsia="uk-UA"/>
        </w:rPr>
        <w:t xml:space="preserve"> н</w:t>
      </w:r>
      <w:r w:rsidR="00247859">
        <w:rPr>
          <w:rFonts w:eastAsia="Times New Roman"/>
          <w:b/>
          <w:color w:val="auto"/>
          <w:szCs w:val="24"/>
          <w:lang w:val="uk-UA" w:eastAsia="uk-UA"/>
        </w:rPr>
        <w:t xml:space="preserve">аявні </w:t>
      </w:r>
      <w:r w:rsidR="00F304A9">
        <w:rPr>
          <w:rFonts w:eastAsia="Times New Roman"/>
          <w:b/>
          <w:color w:val="auto"/>
          <w:szCs w:val="24"/>
          <w:lang w:val="uk-UA" w:eastAsia="uk-UA"/>
        </w:rPr>
        <w:t>по чотири звернення від інвалідів ІІ групи.</w:t>
      </w:r>
    </w:p>
    <w:p w:rsidR="00D20648" w:rsidRDefault="00D20648" w:rsidP="00786C3C">
      <w:pPr>
        <w:widowControl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  <w:r>
        <w:rPr>
          <w:rFonts w:eastAsia="Times New Roman"/>
          <w:b/>
          <w:color w:val="3A3A3A"/>
          <w:szCs w:val="24"/>
          <w:lang w:val="uk-UA" w:eastAsia="uk-UA"/>
        </w:rPr>
        <w:tab/>
      </w:r>
      <w:r w:rsidR="00F304A9">
        <w:rPr>
          <w:rFonts w:eastAsia="Times New Roman"/>
          <w:b/>
          <w:color w:val="3A3A3A"/>
          <w:szCs w:val="24"/>
          <w:lang w:val="uk-UA" w:eastAsia="uk-UA"/>
        </w:rPr>
        <w:t>З</w:t>
      </w:r>
      <w:r w:rsidR="00F304A9" w:rsidRPr="00786C3C">
        <w:rPr>
          <w:rFonts w:eastAsia="Times New Roman"/>
          <w:b/>
          <w:color w:val="auto"/>
          <w:szCs w:val="24"/>
          <w:lang w:val="uk-UA"/>
        </w:rPr>
        <w:t xml:space="preserve">а результатами розгляду </w:t>
      </w:r>
      <w:r w:rsidR="00F304A9">
        <w:rPr>
          <w:rFonts w:eastAsia="Times New Roman"/>
          <w:b/>
          <w:color w:val="auto"/>
          <w:szCs w:val="24"/>
          <w:lang w:val="uk-UA"/>
        </w:rPr>
        <w:t xml:space="preserve">в 2020 році </w:t>
      </w:r>
      <w:r w:rsidR="00F304A9" w:rsidRPr="00786C3C">
        <w:rPr>
          <w:rFonts w:eastAsia="Times New Roman"/>
          <w:b/>
          <w:color w:val="auto"/>
          <w:szCs w:val="24"/>
          <w:lang w:val="uk-UA"/>
        </w:rPr>
        <w:t xml:space="preserve">: </w:t>
      </w:r>
      <w:r w:rsidR="00BF4476">
        <w:rPr>
          <w:rFonts w:eastAsia="Times New Roman"/>
          <w:b/>
          <w:color w:val="auto"/>
          <w:szCs w:val="24"/>
          <w:lang w:val="uk-UA"/>
        </w:rPr>
        <w:t>розглянуто по суті 9</w:t>
      </w:r>
      <w:r w:rsidR="00F304A9">
        <w:rPr>
          <w:rFonts w:eastAsia="Times New Roman"/>
          <w:b/>
          <w:color w:val="auto"/>
          <w:szCs w:val="24"/>
          <w:lang w:val="uk-UA"/>
        </w:rPr>
        <w:t xml:space="preserve"> </w:t>
      </w:r>
      <w:r w:rsidR="00BF4476">
        <w:rPr>
          <w:rFonts w:eastAsia="Times New Roman"/>
          <w:b/>
          <w:color w:val="auto"/>
          <w:szCs w:val="24"/>
          <w:lang w:val="uk-UA"/>
        </w:rPr>
        <w:t xml:space="preserve">звернень, </w:t>
      </w:r>
      <w:r w:rsidR="00F304A9">
        <w:rPr>
          <w:rFonts w:eastAsia="Calibri"/>
          <w:b/>
          <w:color w:val="auto"/>
          <w:szCs w:val="24"/>
          <w:lang w:val="uk-UA" w:eastAsia="en-US"/>
        </w:rPr>
        <w:t>2 звернення залишились не розглянутими на кінець звітного періоду.</w:t>
      </w:r>
      <w:r w:rsidR="00BF4476">
        <w:rPr>
          <w:rFonts w:eastAsia="Times New Roman"/>
          <w:b/>
          <w:color w:val="3A3A3A"/>
          <w:szCs w:val="24"/>
          <w:lang w:val="uk-UA" w:eastAsia="uk-UA"/>
        </w:rPr>
        <w:t xml:space="preserve"> </w:t>
      </w:r>
      <w:r w:rsidRPr="00786C3C">
        <w:rPr>
          <w:rFonts w:eastAsia="Times New Roman"/>
          <w:b/>
          <w:color w:val="auto"/>
          <w:szCs w:val="24"/>
          <w:lang w:val="uk-UA"/>
        </w:rPr>
        <w:t xml:space="preserve">За результатами розгляду </w:t>
      </w:r>
      <w:r w:rsidR="00E1674A">
        <w:rPr>
          <w:rFonts w:eastAsia="Times New Roman"/>
          <w:b/>
          <w:color w:val="auto"/>
          <w:szCs w:val="24"/>
          <w:lang w:val="uk-UA"/>
        </w:rPr>
        <w:t xml:space="preserve">в 2019 році </w:t>
      </w:r>
      <w:r w:rsidRPr="00786C3C">
        <w:rPr>
          <w:rFonts w:eastAsia="Times New Roman"/>
          <w:b/>
          <w:color w:val="auto"/>
          <w:szCs w:val="24"/>
          <w:lang w:val="uk-UA"/>
        </w:rPr>
        <w:t xml:space="preserve">: </w:t>
      </w:r>
      <w:r w:rsidR="008220B4">
        <w:rPr>
          <w:rFonts w:eastAsia="Times New Roman"/>
          <w:b/>
          <w:color w:val="auto"/>
          <w:szCs w:val="24"/>
          <w:lang w:val="uk-UA"/>
        </w:rPr>
        <w:t xml:space="preserve">розглянуто по суті 14 звернень, 1 звернення повернуто </w:t>
      </w:r>
      <w:r w:rsidR="008220B4" w:rsidRPr="00786C3C">
        <w:rPr>
          <w:rFonts w:eastAsia="Calibri"/>
          <w:b/>
          <w:color w:val="auto"/>
          <w:szCs w:val="24"/>
          <w:lang w:val="uk-UA" w:eastAsia="en-US"/>
        </w:rPr>
        <w:t>заявнику відповідно до ст.</w:t>
      </w:r>
      <w:r w:rsidR="00E1674A">
        <w:rPr>
          <w:rFonts w:eastAsia="Calibri"/>
          <w:b/>
          <w:color w:val="auto"/>
          <w:szCs w:val="24"/>
          <w:lang w:val="uk-UA" w:eastAsia="en-US"/>
        </w:rPr>
        <w:t xml:space="preserve"> </w:t>
      </w:r>
      <w:r w:rsidR="008220B4" w:rsidRPr="00786C3C">
        <w:rPr>
          <w:rFonts w:eastAsia="Calibri"/>
          <w:b/>
          <w:color w:val="auto"/>
          <w:szCs w:val="24"/>
          <w:lang w:val="uk-UA" w:eastAsia="en-US"/>
        </w:rPr>
        <w:t>5 ЗУ «Про звернення громадян»</w:t>
      </w:r>
      <w:r w:rsidR="008220B4">
        <w:rPr>
          <w:rFonts w:eastAsia="Calibri"/>
          <w:b/>
          <w:color w:val="auto"/>
          <w:szCs w:val="24"/>
          <w:lang w:val="uk-UA" w:eastAsia="en-US"/>
        </w:rPr>
        <w:t>, 2 звернення залишились не розглянутими на кінець звітного періоду.</w:t>
      </w:r>
      <w:r w:rsidR="00B131DA">
        <w:rPr>
          <w:rFonts w:eastAsia="Times New Roman"/>
          <w:b/>
          <w:color w:val="auto"/>
          <w:szCs w:val="24"/>
          <w:lang w:val="uk-UA"/>
        </w:rPr>
        <w:t xml:space="preserve"> </w:t>
      </w:r>
    </w:p>
    <w:p w:rsidR="009E3D7C" w:rsidRDefault="009E3D7C" w:rsidP="00786C3C">
      <w:pPr>
        <w:widowControl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</w:p>
    <w:p w:rsidR="005D7B33" w:rsidRPr="009E3D7C" w:rsidRDefault="005D7B33" w:rsidP="005D7B33">
      <w:pPr>
        <w:shd w:val="clear" w:color="auto" w:fill="FFFFFF"/>
        <w:spacing w:after="150"/>
        <w:contextualSpacing/>
        <w:jc w:val="center"/>
        <w:rPr>
          <w:b/>
          <w:color w:val="auto"/>
          <w:szCs w:val="24"/>
          <w:lang w:val="uk-UA" w:eastAsia="uk-UA"/>
        </w:rPr>
      </w:pPr>
      <w:r w:rsidRPr="009E3D7C">
        <w:rPr>
          <w:b/>
          <w:color w:val="auto"/>
          <w:szCs w:val="24"/>
          <w:lang w:val="uk-UA" w:eastAsia="uk-UA"/>
        </w:rPr>
        <w:t>Структура звернень громадян за перше півріччя 2020 року</w:t>
      </w:r>
    </w:p>
    <w:p w:rsidR="005D7B33" w:rsidRPr="005D7B33" w:rsidRDefault="005D7B33" w:rsidP="005D7B33">
      <w:pPr>
        <w:shd w:val="clear" w:color="auto" w:fill="FFFFFF"/>
        <w:spacing w:after="150"/>
        <w:contextualSpacing/>
        <w:jc w:val="center"/>
        <w:rPr>
          <w:b/>
          <w:szCs w:val="24"/>
          <w:lang w:val="uk-UA" w:eastAsia="uk-UA"/>
        </w:rPr>
      </w:pPr>
    </w:p>
    <w:p w:rsidR="005D7B33" w:rsidRPr="00763D83" w:rsidRDefault="005D7B33" w:rsidP="005D7B33">
      <w:pPr>
        <w:shd w:val="clear" w:color="auto" w:fill="FFFFFF"/>
        <w:spacing w:after="150"/>
        <w:contextualSpacing/>
        <w:jc w:val="center"/>
        <w:rPr>
          <w:b/>
          <w:szCs w:val="24"/>
          <w:lang w:eastAsia="uk-UA"/>
        </w:rPr>
      </w:pPr>
    </w:p>
    <w:p w:rsidR="005D7B33" w:rsidRDefault="005D7B33" w:rsidP="005D7B33">
      <w:pPr>
        <w:ind w:firstLine="709"/>
        <w:contextualSpacing/>
        <w:jc w:val="both"/>
        <w:rPr>
          <w:rFonts w:eastAsia="Times New Roman"/>
          <w:b/>
          <w:color w:val="3A3A3A"/>
          <w:lang w:eastAsia="uk-UA"/>
        </w:rPr>
      </w:pPr>
      <w:r w:rsidRPr="00763D83">
        <w:rPr>
          <w:noProof/>
          <w:lang w:val="uk-UA" w:eastAsia="uk-UA"/>
        </w:rPr>
        <w:drawing>
          <wp:inline distT="0" distB="0" distL="0" distR="0" wp14:anchorId="1E66BB1E" wp14:editId="66252F16">
            <wp:extent cx="5486400" cy="3200400"/>
            <wp:effectExtent l="0" t="0" r="0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52A2" w:rsidRDefault="004F52A2" w:rsidP="00E65523">
      <w:pPr>
        <w:contextualSpacing/>
        <w:jc w:val="both"/>
        <w:rPr>
          <w:rFonts w:eastAsia="Times New Roman"/>
          <w:b/>
          <w:color w:val="3A3A3A"/>
          <w:lang w:val="uk-UA" w:eastAsia="uk-UA"/>
        </w:rPr>
      </w:pPr>
    </w:p>
    <w:p w:rsidR="00DB785A" w:rsidRDefault="00DB785A" w:rsidP="00DB785A">
      <w:pPr>
        <w:shd w:val="clear" w:color="auto" w:fill="FFFFFF"/>
        <w:spacing w:after="150"/>
        <w:contextualSpacing/>
        <w:jc w:val="center"/>
        <w:rPr>
          <w:b/>
          <w:color w:val="auto"/>
          <w:szCs w:val="24"/>
          <w:lang w:val="uk-UA" w:eastAsia="uk-UA"/>
        </w:rPr>
      </w:pPr>
      <w:r w:rsidRPr="002A708E">
        <w:rPr>
          <w:b/>
          <w:color w:val="auto"/>
          <w:szCs w:val="24"/>
          <w:lang w:val="uk-UA" w:eastAsia="uk-UA"/>
        </w:rPr>
        <w:t>Структура звернень громадян за перше півріччя 2019 року</w:t>
      </w:r>
    </w:p>
    <w:p w:rsidR="002A708E" w:rsidRPr="002A708E" w:rsidRDefault="002A708E" w:rsidP="00DB785A">
      <w:pPr>
        <w:shd w:val="clear" w:color="auto" w:fill="FFFFFF"/>
        <w:spacing w:after="150"/>
        <w:contextualSpacing/>
        <w:jc w:val="center"/>
        <w:rPr>
          <w:b/>
          <w:color w:val="auto"/>
          <w:szCs w:val="24"/>
          <w:lang w:val="uk-UA" w:eastAsia="uk-UA"/>
        </w:rPr>
      </w:pPr>
    </w:p>
    <w:p w:rsidR="00F02FCB" w:rsidRPr="00E65523" w:rsidRDefault="00DB785A" w:rsidP="00E65523">
      <w:pPr>
        <w:ind w:firstLine="709"/>
        <w:contextualSpacing/>
        <w:jc w:val="both"/>
        <w:rPr>
          <w:rFonts w:eastAsia="Times New Roman"/>
          <w:b/>
          <w:color w:val="3A3A3A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 wp14:anchorId="58588877" wp14:editId="57781D96">
            <wp:extent cx="5486400" cy="3200400"/>
            <wp:effectExtent l="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3753" w:rsidRDefault="009B3753" w:rsidP="000D552C">
      <w:pPr>
        <w:ind w:firstLine="708"/>
        <w:contextualSpacing/>
        <w:jc w:val="both"/>
        <w:rPr>
          <w:b/>
          <w:szCs w:val="24"/>
          <w:lang w:val="uk-UA"/>
        </w:rPr>
      </w:pPr>
      <w:r w:rsidRPr="009B3753">
        <w:rPr>
          <w:b/>
          <w:szCs w:val="24"/>
          <w:lang w:val="uk-UA"/>
        </w:rPr>
        <w:lastRenderedPageBreak/>
        <w:t xml:space="preserve">Всі звернення, що надходять до </w:t>
      </w:r>
      <w:r>
        <w:rPr>
          <w:b/>
          <w:szCs w:val="24"/>
          <w:lang w:val="uk-UA"/>
        </w:rPr>
        <w:t xml:space="preserve">суду </w:t>
      </w:r>
      <w:r w:rsidRPr="009B3753">
        <w:rPr>
          <w:b/>
          <w:szCs w:val="24"/>
          <w:lang w:val="uk-UA"/>
        </w:rPr>
        <w:t>опрацьовуються та контролюються керівництвом, надаються відповідні доручення виконавц</w:t>
      </w:r>
      <w:r>
        <w:rPr>
          <w:b/>
          <w:szCs w:val="24"/>
          <w:lang w:val="uk-UA"/>
        </w:rPr>
        <w:t>ям. Авторам звернень</w:t>
      </w:r>
      <w:r w:rsidR="00824618">
        <w:rPr>
          <w:b/>
          <w:szCs w:val="24"/>
          <w:lang w:val="uk-UA"/>
        </w:rPr>
        <w:t xml:space="preserve"> направляється</w:t>
      </w:r>
      <w:r w:rsidRPr="009B3753">
        <w:rPr>
          <w:b/>
          <w:szCs w:val="24"/>
          <w:lang w:val="uk-UA"/>
        </w:rPr>
        <w:t xml:space="preserve"> чітка, обґрунтована, повна відповідь з урахуванням строків, установлених чинним законодавством.</w:t>
      </w:r>
    </w:p>
    <w:p w:rsidR="009B3753" w:rsidRDefault="009B3753" w:rsidP="009B3753">
      <w:pPr>
        <w:ind w:firstLine="708"/>
        <w:contextualSpacing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За період, що аналізується, тобто за перше півріччя 2020 року до суду надійшло 6 (55%) звернень на дії суддів, проти 8 (47%) звернень за перше півріччя 2019 року.</w:t>
      </w:r>
    </w:p>
    <w:p w:rsidR="000D552C" w:rsidRDefault="00353649" w:rsidP="00736834">
      <w:pPr>
        <w:ind w:firstLine="708"/>
        <w:contextualSpacing/>
        <w:jc w:val="both"/>
        <w:rPr>
          <w:b/>
          <w:szCs w:val="24"/>
          <w:lang w:val="uk-UA"/>
        </w:rPr>
      </w:pPr>
      <w:r w:rsidRPr="00353649">
        <w:rPr>
          <w:b/>
          <w:szCs w:val="24"/>
          <w:lang w:val="uk-UA"/>
        </w:rPr>
        <w:t>Надходження ч</w:t>
      </w:r>
      <w:r w:rsidR="005D22F9">
        <w:rPr>
          <w:b/>
          <w:szCs w:val="24"/>
          <w:lang w:val="uk-UA"/>
        </w:rPr>
        <w:t xml:space="preserve">астини звернень зумовлено </w:t>
      </w:r>
      <w:r w:rsidRPr="00353649">
        <w:rPr>
          <w:b/>
          <w:szCs w:val="24"/>
          <w:lang w:val="uk-UA"/>
        </w:rPr>
        <w:t xml:space="preserve">відсутністю правової освіти, юридичною необізнаністю громадян, зокрема, неможливістю розмежування компетенції та повноважень державних органів та їх посадових осіб, незнанням своїх процесуальних прав. </w:t>
      </w:r>
      <w:r w:rsidR="00824618">
        <w:rPr>
          <w:b/>
          <w:szCs w:val="24"/>
          <w:lang w:val="uk-UA"/>
        </w:rPr>
        <w:t>Тому н</w:t>
      </w:r>
      <w:r w:rsidRPr="00353649">
        <w:rPr>
          <w:b/>
          <w:szCs w:val="24"/>
          <w:lang w:val="uk-UA"/>
        </w:rPr>
        <w:t>евдоволеність результатом розгляду справ змушує громадян посилатися на зацікав</w:t>
      </w:r>
      <w:r w:rsidR="00613E0E">
        <w:rPr>
          <w:b/>
          <w:szCs w:val="24"/>
          <w:lang w:val="uk-UA"/>
        </w:rPr>
        <w:t>леність та упередженість суддів, зумовлює зазначення у зверненнях</w:t>
      </w:r>
      <w:r w:rsidR="00613E0E" w:rsidRPr="00613E0E">
        <w:rPr>
          <w:b/>
          <w:szCs w:val="24"/>
          <w:lang w:val="uk-UA"/>
        </w:rPr>
        <w:t xml:space="preserve"> вимоги про притягнення судді до дисциплінарної відповідальності</w:t>
      </w:r>
      <w:r w:rsidR="00824618">
        <w:rPr>
          <w:b/>
          <w:szCs w:val="24"/>
          <w:lang w:val="uk-UA"/>
        </w:rPr>
        <w:t>,</w:t>
      </w:r>
      <w:r w:rsidR="00613E0E" w:rsidRPr="00613E0E">
        <w:rPr>
          <w:b/>
          <w:szCs w:val="24"/>
          <w:lang w:val="uk-UA"/>
        </w:rPr>
        <w:t xml:space="preserve"> або й кримінальної відповідальності</w:t>
      </w:r>
      <w:r w:rsidR="00824618">
        <w:rPr>
          <w:b/>
          <w:szCs w:val="24"/>
          <w:lang w:val="uk-UA"/>
        </w:rPr>
        <w:t>,</w:t>
      </w:r>
      <w:r w:rsidR="00613E0E" w:rsidRPr="00613E0E">
        <w:rPr>
          <w:b/>
          <w:szCs w:val="24"/>
          <w:lang w:val="uk-UA"/>
        </w:rPr>
        <w:t xml:space="preserve"> за винесення завідомо незаконного, на думку скаржників, рішення.</w:t>
      </w:r>
      <w:r w:rsidRPr="00613E0E">
        <w:rPr>
          <w:lang w:val="uk-UA"/>
        </w:rPr>
        <w:t xml:space="preserve"> </w:t>
      </w:r>
      <w:r w:rsidR="00736834" w:rsidRPr="00284728">
        <w:rPr>
          <w:rFonts w:eastAsia="Times New Roman"/>
          <w:b/>
          <w:color w:val="auto"/>
          <w:szCs w:val="24"/>
          <w:lang w:val="uk-UA" w:eastAsia="uk-UA"/>
        </w:rPr>
        <w:t>Такі доводи, як правило, носять суто суб’єктивний характер, нічим об’єктивно не підтверджуються, а тому, не можуть визнаватися обґрунтованими.</w:t>
      </w:r>
      <w:r w:rsidR="00736834">
        <w:rPr>
          <w:rFonts w:eastAsia="Times New Roman"/>
          <w:b/>
          <w:color w:val="auto"/>
          <w:szCs w:val="24"/>
          <w:lang w:val="uk-UA" w:eastAsia="uk-UA"/>
        </w:rPr>
        <w:t xml:space="preserve"> </w:t>
      </w:r>
      <w:r w:rsidRPr="00353649">
        <w:rPr>
          <w:b/>
          <w:szCs w:val="24"/>
          <w:lang w:val="uk-UA"/>
        </w:rPr>
        <w:t>По таких зверненнях заявникам роз’яснюється порядок перегл</w:t>
      </w:r>
      <w:r w:rsidR="00613E0E">
        <w:rPr>
          <w:b/>
          <w:szCs w:val="24"/>
          <w:lang w:val="uk-UA"/>
        </w:rPr>
        <w:t>яду судових рішень, передбачений</w:t>
      </w:r>
      <w:r w:rsidRPr="00353649">
        <w:rPr>
          <w:b/>
          <w:szCs w:val="24"/>
          <w:lang w:val="uk-UA"/>
        </w:rPr>
        <w:t xml:space="preserve"> чинним законодавством, роз’яснюються положення Закону України «Про судоустрій і статус суддів» щодо незалежності суддів від будь-якого незаконного впливу, здійснення правосуддя на основі Конституції і законів України, заборони втручання у здійснення правосуддя чи впливу на суд або суддів у будь-який спосіб.</w:t>
      </w:r>
    </w:p>
    <w:p w:rsidR="000D552C" w:rsidRDefault="00C27F76" w:rsidP="009813BE">
      <w:pPr>
        <w:ind w:firstLine="708"/>
        <w:contextualSpacing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Одне звернення в першому півріччі 2020 року </w:t>
      </w:r>
      <w:r w:rsidR="001C4F4C">
        <w:rPr>
          <w:b/>
          <w:szCs w:val="24"/>
          <w:lang w:val="uk-UA"/>
        </w:rPr>
        <w:t xml:space="preserve">(9%) так само, як і в 2019 році (6%) </w:t>
      </w:r>
      <w:proofErr w:type="spellStart"/>
      <w:r w:rsidR="001C4F4C" w:rsidRPr="003F1613">
        <w:rPr>
          <w:rFonts w:eastAsia="Calibri"/>
          <w:b/>
          <w:lang w:eastAsia="en-US"/>
        </w:rPr>
        <w:t>стосувалось</w:t>
      </w:r>
      <w:proofErr w:type="spellEnd"/>
      <w:r w:rsidR="001C4F4C" w:rsidRPr="003F1613">
        <w:rPr>
          <w:rFonts w:eastAsia="Calibri"/>
          <w:b/>
          <w:lang w:eastAsia="en-US"/>
        </w:rPr>
        <w:t xml:space="preserve"> </w:t>
      </w:r>
      <w:proofErr w:type="spellStart"/>
      <w:r w:rsidR="001C4F4C" w:rsidRPr="003F1613">
        <w:rPr>
          <w:rFonts w:eastAsia="Calibri"/>
          <w:b/>
          <w:lang w:eastAsia="en-US"/>
        </w:rPr>
        <w:t>тривалог</w:t>
      </w:r>
      <w:r w:rsidR="001C4F4C">
        <w:rPr>
          <w:rFonts w:eastAsia="Calibri"/>
          <w:b/>
          <w:lang w:eastAsia="en-US"/>
        </w:rPr>
        <w:t>о</w:t>
      </w:r>
      <w:proofErr w:type="spellEnd"/>
      <w:r w:rsidR="001C4F4C">
        <w:rPr>
          <w:rFonts w:eastAsia="Calibri"/>
          <w:b/>
          <w:lang w:eastAsia="en-US"/>
        </w:rPr>
        <w:t xml:space="preserve"> не </w:t>
      </w:r>
      <w:proofErr w:type="spellStart"/>
      <w:r w:rsidR="001C4F4C">
        <w:rPr>
          <w:rFonts w:eastAsia="Calibri"/>
          <w:b/>
          <w:lang w:eastAsia="en-US"/>
        </w:rPr>
        <w:t>розгляду</w:t>
      </w:r>
      <w:proofErr w:type="spellEnd"/>
      <w:r w:rsidR="001C4F4C">
        <w:rPr>
          <w:rFonts w:eastAsia="Calibri"/>
          <w:b/>
          <w:lang w:eastAsia="en-US"/>
        </w:rPr>
        <w:t xml:space="preserve"> </w:t>
      </w:r>
      <w:proofErr w:type="spellStart"/>
      <w:r w:rsidR="001C4F4C">
        <w:rPr>
          <w:rFonts w:eastAsia="Calibri"/>
          <w:b/>
          <w:lang w:eastAsia="en-US"/>
        </w:rPr>
        <w:t>справи</w:t>
      </w:r>
      <w:proofErr w:type="spellEnd"/>
      <w:r w:rsidR="001C4F4C">
        <w:rPr>
          <w:rFonts w:eastAsia="Calibri"/>
          <w:b/>
          <w:lang w:eastAsia="en-US"/>
        </w:rPr>
        <w:t xml:space="preserve"> та </w:t>
      </w:r>
      <w:proofErr w:type="spellStart"/>
      <w:r w:rsidR="001C4F4C">
        <w:rPr>
          <w:rFonts w:eastAsia="Calibri"/>
          <w:b/>
          <w:lang w:eastAsia="en-US"/>
        </w:rPr>
        <w:t>тяганини</w:t>
      </w:r>
      <w:proofErr w:type="spellEnd"/>
      <w:r w:rsidR="001C4F4C" w:rsidRPr="003F1613">
        <w:rPr>
          <w:rFonts w:eastAsia="Calibri"/>
          <w:b/>
          <w:lang w:eastAsia="en-US"/>
        </w:rPr>
        <w:t xml:space="preserve"> при </w:t>
      </w:r>
      <w:proofErr w:type="spellStart"/>
      <w:r w:rsidR="001C4F4C" w:rsidRPr="003F1613">
        <w:rPr>
          <w:rFonts w:eastAsia="Calibri"/>
          <w:b/>
          <w:lang w:eastAsia="en-US"/>
        </w:rPr>
        <w:t>розгляді</w:t>
      </w:r>
      <w:proofErr w:type="spellEnd"/>
      <w:r w:rsidR="001C4F4C" w:rsidRPr="003F1613">
        <w:rPr>
          <w:rFonts w:eastAsia="Calibri"/>
          <w:b/>
          <w:lang w:eastAsia="en-US"/>
        </w:rPr>
        <w:t xml:space="preserve"> </w:t>
      </w:r>
      <w:proofErr w:type="spellStart"/>
      <w:r w:rsidR="001C4F4C" w:rsidRPr="003F1613">
        <w:rPr>
          <w:rFonts w:eastAsia="Calibri"/>
          <w:b/>
          <w:lang w:eastAsia="en-US"/>
        </w:rPr>
        <w:t>справи</w:t>
      </w:r>
      <w:proofErr w:type="spellEnd"/>
      <w:r w:rsidR="001C4F4C" w:rsidRPr="003F1613">
        <w:rPr>
          <w:rFonts w:eastAsia="Calibri"/>
          <w:b/>
          <w:lang w:eastAsia="en-US"/>
        </w:rPr>
        <w:t>.</w:t>
      </w:r>
      <w:r w:rsidR="006A5140">
        <w:rPr>
          <w:b/>
          <w:szCs w:val="24"/>
          <w:lang w:val="uk-UA"/>
        </w:rPr>
        <w:t xml:space="preserve"> </w:t>
      </w:r>
      <w:r w:rsidRPr="00C27F76">
        <w:rPr>
          <w:b/>
          <w:szCs w:val="24"/>
          <w:lang w:val="uk-UA"/>
        </w:rPr>
        <w:t xml:space="preserve">Надходженню </w:t>
      </w:r>
      <w:r w:rsidR="006A5140">
        <w:rPr>
          <w:b/>
          <w:szCs w:val="24"/>
          <w:lang w:val="uk-UA"/>
        </w:rPr>
        <w:t xml:space="preserve">даної категорії </w:t>
      </w:r>
      <w:r w:rsidRPr="00C27F76">
        <w:rPr>
          <w:b/>
          <w:szCs w:val="24"/>
          <w:lang w:val="uk-UA"/>
        </w:rPr>
        <w:t>звернень передують різні чинники. Так, серед основн</w:t>
      </w:r>
      <w:r w:rsidR="006A5140">
        <w:rPr>
          <w:b/>
          <w:szCs w:val="24"/>
          <w:lang w:val="uk-UA"/>
        </w:rPr>
        <w:t xml:space="preserve">их причин є </w:t>
      </w:r>
      <w:r w:rsidRPr="00C27F76">
        <w:rPr>
          <w:b/>
          <w:szCs w:val="24"/>
          <w:lang w:val="uk-UA"/>
        </w:rPr>
        <w:t>значне навантаження (по справах, що знаходяться в провадженні) на одного суддю,</w:t>
      </w:r>
      <w:r w:rsidR="009813BE" w:rsidRPr="009813BE">
        <w:rPr>
          <w:b/>
          <w:szCs w:val="24"/>
          <w:lang w:val="uk-UA"/>
        </w:rPr>
        <w:t xml:space="preserve"> перебуванням головуючого судді у відпустці (на лікарняному)</w:t>
      </w:r>
      <w:r w:rsidR="009813BE">
        <w:rPr>
          <w:b/>
          <w:szCs w:val="24"/>
          <w:lang w:val="uk-UA"/>
        </w:rPr>
        <w:t>,</w:t>
      </w:r>
      <w:r w:rsidRPr="00C27F76">
        <w:rPr>
          <w:b/>
          <w:szCs w:val="24"/>
          <w:lang w:val="uk-UA"/>
        </w:rPr>
        <w:t xml:space="preserve"> що впливає на тривалість розгляду справ і, як наслідок, породжує незадоволення громадян з при</w:t>
      </w:r>
      <w:r w:rsidR="006A5140">
        <w:rPr>
          <w:b/>
          <w:szCs w:val="24"/>
          <w:lang w:val="uk-UA"/>
        </w:rPr>
        <w:t>воду їх довготривалого розгляду, прохання застосув</w:t>
      </w:r>
      <w:r w:rsidR="009813BE">
        <w:rPr>
          <w:b/>
          <w:szCs w:val="24"/>
          <w:lang w:val="uk-UA"/>
        </w:rPr>
        <w:t xml:space="preserve">ати дисциплінарні заходи до судді, які </w:t>
      </w:r>
      <w:r w:rsidR="009813BE" w:rsidRPr="009813BE">
        <w:rPr>
          <w:b/>
          <w:szCs w:val="24"/>
          <w:lang w:val="uk-UA"/>
        </w:rPr>
        <w:t>в</w:t>
      </w:r>
      <w:r w:rsidR="009813BE">
        <w:rPr>
          <w:b/>
          <w:szCs w:val="24"/>
          <w:lang w:val="uk-UA"/>
        </w:rPr>
        <w:t xml:space="preserve">загалі </w:t>
      </w:r>
      <w:r w:rsidR="009813BE" w:rsidRPr="009813BE">
        <w:rPr>
          <w:b/>
          <w:szCs w:val="24"/>
          <w:lang w:val="uk-UA"/>
        </w:rPr>
        <w:t xml:space="preserve">виходять за межі </w:t>
      </w:r>
      <w:r w:rsidR="009C7D2E">
        <w:rPr>
          <w:b/>
          <w:szCs w:val="24"/>
          <w:lang w:val="uk-UA"/>
        </w:rPr>
        <w:t>повноважень, наданих законом</w:t>
      </w:r>
      <w:r w:rsidR="009813BE">
        <w:rPr>
          <w:b/>
          <w:szCs w:val="24"/>
          <w:lang w:val="uk-UA"/>
        </w:rPr>
        <w:t xml:space="preserve"> голові </w:t>
      </w:r>
      <w:r w:rsidR="009813BE" w:rsidRPr="009813BE">
        <w:rPr>
          <w:b/>
          <w:szCs w:val="24"/>
          <w:lang w:val="uk-UA"/>
        </w:rPr>
        <w:t>суду.</w:t>
      </w:r>
    </w:p>
    <w:p w:rsidR="00E71877" w:rsidRDefault="00E71877" w:rsidP="002A708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Одне звернення в першому півріччі 2020 року (9%) стосувалось питання незгоди з судовим рішенням. </w:t>
      </w:r>
      <w:r w:rsidR="00736834" w:rsidRPr="00736834">
        <w:rPr>
          <w:rFonts w:eastAsia="Calibri"/>
          <w:b/>
          <w:lang w:eastAsia="en-US"/>
        </w:rPr>
        <w:t xml:space="preserve">Так, громадяни, у разі непогодження з судовими </w:t>
      </w:r>
      <w:r w:rsidR="009C7D2E">
        <w:rPr>
          <w:rFonts w:eastAsia="Calibri"/>
          <w:b/>
          <w:lang w:eastAsia="en-US"/>
        </w:rPr>
        <w:t>рішеннями, замість оскарження його</w:t>
      </w:r>
      <w:r w:rsidR="00736834" w:rsidRPr="00736834">
        <w:rPr>
          <w:rFonts w:eastAsia="Calibri"/>
          <w:b/>
          <w:lang w:eastAsia="en-US"/>
        </w:rPr>
        <w:t xml:space="preserve"> у встановленому законом порядку, надсилають скарги до різних інстанцій, </w:t>
      </w:r>
      <w:r w:rsidR="00736834">
        <w:rPr>
          <w:rFonts w:eastAsia="Calibri"/>
          <w:b/>
          <w:lang w:eastAsia="en-US"/>
        </w:rPr>
        <w:t xml:space="preserve">щоб привернути увагу до своїх прав, </w:t>
      </w:r>
      <w:r w:rsidR="00736834" w:rsidRPr="00736834">
        <w:rPr>
          <w:rFonts w:eastAsia="Calibri"/>
          <w:b/>
          <w:lang w:eastAsia="en-US"/>
        </w:rPr>
        <w:t>таким чином, втрачаючи час, відведений законом для оскарження рішень</w:t>
      </w:r>
      <w:r w:rsidR="009C7D2E">
        <w:rPr>
          <w:rFonts w:eastAsia="Calibri"/>
          <w:b/>
          <w:lang w:eastAsia="en-US"/>
        </w:rPr>
        <w:t xml:space="preserve">. </w:t>
      </w:r>
      <w:r>
        <w:rPr>
          <w:rFonts w:eastAsia="Calibri"/>
          <w:b/>
          <w:lang w:eastAsia="en-US"/>
        </w:rPr>
        <w:t>В першому півріччя 2019 року вказані звернення відсутні.</w:t>
      </w:r>
    </w:p>
    <w:p w:rsidR="00613E0E" w:rsidRDefault="00B61740" w:rsidP="002A708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Одне звернення в 2020 році (9%) стосувалось організації роботи суду. </w:t>
      </w:r>
      <w:r w:rsidR="00F333F3">
        <w:rPr>
          <w:rFonts w:eastAsia="Calibri"/>
          <w:b/>
          <w:lang w:eastAsia="en-US"/>
        </w:rPr>
        <w:t>В процесі розгляду даного звернення виявилось, що зазначена в зверненні інформація не відповідає дійсності, а саме, що не надано справу для ознайомлення.</w:t>
      </w:r>
      <w:r>
        <w:rPr>
          <w:rFonts w:eastAsia="Calibri"/>
          <w:b/>
          <w:lang w:eastAsia="en-US"/>
        </w:rPr>
        <w:t xml:space="preserve"> </w:t>
      </w:r>
      <w:r w:rsidR="00F333F3">
        <w:rPr>
          <w:rFonts w:eastAsia="Calibri"/>
          <w:b/>
          <w:lang w:eastAsia="en-US"/>
        </w:rPr>
        <w:t>В справі наявні підтвердження того, що особа ознайомилась з матеріалами справи в повно</w:t>
      </w:r>
      <w:r w:rsidR="004C0539">
        <w:rPr>
          <w:rFonts w:eastAsia="Calibri"/>
          <w:b/>
          <w:lang w:eastAsia="en-US"/>
        </w:rPr>
        <w:t xml:space="preserve">му обсязі, що підтверджується її розпискою. </w:t>
      </w:r>
      <w:r>
        <w:rPr>
          <w:rFonts w:eastAsia="Calibri"/>
          <w:b/>
          <w:lang w:eastAsia="en-US"/>
        </w:rPr>
        <w:t>В аналогічному періоді 2019 року - шість звернень (35%)</w:t>
      </w:r>
      <w:r w:rsidR="004C0539">
        <w:rPr>
          <w:rFonts w:eastAsia="Calibri"/>
          <w:b/>
          <w:lang w:eastAsia="en-US"/>
        </w:rPr>
        <w:t xml:space="preserve"> стосувались організації роботи суду.</w:t>
      </w:r>
    </w:p>
    <w:p w:rsidR="00E71877" w:rsidRDefault="004C0539" w:rsidP="008E7C7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Два звернення за перше півріччя 2020 року </w:t>
      </w:r>
      <w:r w:rsidR="0025415E">
        <w:rPr>
          <w:rFonts w:eastAsia="Calibri"/>
          <w:b/>
          <w:lang w:eastAsia="en-US"/>
        </w:rPr>
        <w:t xml:space="preserve">(18%) </w:t>
      </w:r>
      <w:r>
        <w:rPr>
          <w:rFonts w:eastAsia="Calibri"/>
          <w:b/>
          <w:lang w:eastAsia="en-US"/>
        </w:rPr>
        <w:t xml:space="preserve">– з інших питань. В зверненнях порушуються питання </w:t>
      </w:r>
      <w:r w:rsidR="00C22150" w:rsidRPr="006970BF">
        <w:rPr>
          <w:rFonts w:eastAsia="Calibri"/>
          <w:b/>
          <w:lang w:eastAsia="en-US"/>
        </w:rPr>
        <w:t>функціонуван</w:t>
      </w:r>
      <w:r w:rsidR="00C22150">
        <w:rPr>
          <w:rFonts w:eastAsia="Calibri"/>
          <w:b/>
          <w:lang w:eastAsia="en-US"/>
        </w:rPr>
        <w:t xml:space="preserve">ня підсистеми «Електронний суд», </w:t>
      </w:r>
      <w:r w:rsidR="008E7C72">
        <w:rPr>
          <w:rFonts w:eastAsia="Calibri"/>
          <w:b/>
          <w:lang w:eastAsia="en-US"/>
        </w:rPr>
        <w:t>розгляду справ та отримання копій рішення суду.</w:t>
      </w:r>
      <w:r w:rsidR="008E7C72" w:rsidRPr="008E7C72">
        <w:rPr>
          <w:rFonts w:eastAsia="Calibri"/>
          <w:b/>
          <w:lang w:eastAsia="en-US"/>
        </w:rPr>
        <w:t xml:space="preserve"> </w:t>
      </w:r>
      <w:r w:rsidR="008E7C72">
        <w:rPr>
          <w:rFonts w:eastAsia="Calibri"/>
          <w:b/>
          <w:lang w:eastAsia="en-US"/>
        </w:rPr>
        <w:t>В аналогічному періоді 2019 року - одне звернення (6%) стосувалось інших питань.</w:t>
      </w:r>
    </w:p>
    <w:p w:rsidR="004903F6" w:rsidRPr="0002052D" w:rsidRDefault="0034559F" w:rsidP="003F1613">
      <w:pPr>
        <w:shd w:val="clear" w:color="auto" w:fill="FFFFFF"/>
        <w:jc w:val="both"/>
        <w:rPr>
          <w:rFonts w:eastAsia="Times New Roman"/>
          <w:b/>
          <w:color w:val="auto"/>
          <w:sz w:val="23"/>
          <w:szCs w:val="23"/>
          <w:lang w:val="uk-UA" w:eastAsia="uk-UA"/>
        </w:rPr>
      </w:pPr>
      <w:r>
        <w:rPr>
          <w:rFonts w:eastAsia="Calibri"/>
          <w:b/>
          <w:color w:val="auto"/>
          <w:szCs w:val="24"/>
          <w:lang w:val="uk-UA" w:eastAsia="en-US"/>
        </w:rPr>
        <w:tab/>
      </w:r>
      <w:r w:rsidR="00DD538E" w:rsidRPr="0002052D">
        <w:rPr>
          <w:rFonts w:eastAsia="Times New Roman"/>
          <w:b/>
          <w:color w:val="auto"/>
          <w:szCs w:val="24"/>
          <w:lang w:val="uk-UA"/>
        </w:rPr>
        <w:t xml:space="preserve">Простежується </w:t>
      </w:r>
      <w:r w:rsidR="00C045EA" w:rsidRPr="0002052D">
        <w:rPr>
          <w:rFonts w:eastAsia="Times New Roman"/>
          <w:b/>
          <w:color w:val="auto"/>
          <w:szCs w:val="24"/>
          <w:lang w:val="uk-UA"/>
        </w:rPr>
        <w:t>тенденція відсутності повторних</w:t>
      </w:r>
      <w:r w:rsidR="00DD538E" w:rsidRPr="0002052D">
        <w:rPr>
          <w:rFonts w:eastAsia="Times New Roman"/>
          <w:b/>
          <w:color w:val="auto"/>
          <w:szCs w:val="24"/>
          <w:lang w:val="uk-UA"/>
        </w:rPr>
        <w:t>, ду</w:t>
      </w:r>
      <w:r w:rsidR="006326B5" w:rsidRPr="0002052D">
        <w:rPr>
          <w:rFonts w:eastAsia="Times New Roman"/>
          <w:b/>
          <w:color w:val="auto"/>
          <w:szCs w:val="24"/>
          <w:lang w:val="uk-UA"/>
        </w:rPr>
        <w:t xml:space="preserve">блетних  та анонімних звернень, </w:t>
      </w:r>
      <w:r w:rsidR="006326B5" w:rsidRPr="0002052D">
        <w:rPr>
          <w:rFonts w:eastAsia="Times New Roman"/>
          <w:b/>
          <w:color w:val="auto"/>
          <w:sz w:val="23"/>
          <w:szCs w:val="23"/>
          <w:lang w:val="uk-UA" w:eastAsia="uk-UA"/>
        </w:rPr>
        <w:t xml:space="preserve">що свідчить про те, що робота зі зверненнями проводиться із </w:t>
      </w:r>
      <w:r w:rsidR="00140F3C" w:rsidRPr="0002052D">
        <w:rPr>
          <w:rFonts w:eastAsia="Times New Roman"/>
          <w:b/>
          <w:color w:val="auto"/>
          <w:sz w:val="23"/>
          <w:szCs w:val="23"/>
          <w:lang w:val="uk-UA" w:eastAsia="uk-UA"/>
        </w:rPr>
        <w:t>наданням максимально повної</w:t>
      </w:r>
      <w:r w:rsidR="006326B5" w:rsidRPr="0002052D">
        <w:rPr>
          <w:rFonts w:eastAsia="Times New Roman"/>
          <w:b/>
          <w:color w:val="auto"/>
          <w:sz w:val="23"/>
          <w:szCs w:val="23"/>
          <w:lang w:val="uk-UA" w:eastAsia="uk-UA"/>
        </w:rPr>
        <w:t xml:space="preserve"> інформації щодо порушених у зверненнях питань, їй приділяється постійна увага, як одному із пріоритетних напрямів діяльності суду.</w:t>
      </w:r>
    </w:p>
    <w:p w:rsidR="004903F6" w:rsidRDefault="0034559F" w:rsidP="0034559F">
      <w:pPr>
        <w:shd w:val="clear" w:color="auto" w:fill="FFFFFF"/>
        <w:jc w:val="both"/>
        <w:rPr>
          <w:rFonts w:eastAsia="Times New Roman"/>
          <w:b/>
          <w:color w:val="auto"/>
          <w:szCs w:val="24"/>
          <w:lang w:val="uk-UA"/>
        </w:rPr>
      </w:pPr>
      <w:r w:rsidRPr="0002052D">
        <w:rPr>
          <w:rFonts w:eastAsia="Calibri"/>
          <w:b/>
          <w:color w:val="auto"/>
          <w:szCs w:val="24"/>
          <w:lang w:val="uk-UA" w:eastAsia="en-US"/>
        </w:rPr>
        <w:tab/>
      </w:r>
      <w:r w:rsidR="0085341D" w:rsidRPr="0002052D">
        <w:rPr>
          <w:rFonts w:eastAsia="Times New Roman"/>
          <w:b/>
          <w:color w:val="auto"/>
          <w:szCs w:val="24"/>
          <w:lang w:val="uk-UA"/>
        </w:rPr>
        <w:t xml:space="preserve">З метою унеможливлення порушення термінів виконання завдань, поставлених в процесі розгляду звернень громадян, впродовж звітного періоду, здійснювався контроль за строками надання відповідей головою суду, керівником апарату та їх </w:t>
      </w:r>
      <w:r w:rsidR="0085341D" w:rsidRPr="0002052D">
        <w:rPr>
          <w:rFonts w:eastAsia="Times New Roman"/>
          <w:b/>
          <w:color w:val="auto"/>
          <w:szCs w:val="24"/>
          <w:lang w:val="uk-UA"/>
        </w:rPr>
        <w:lastRenderedPageBreak/>
        <w:t>заступниками. В загальній кількості звернень громадян відсутні такі, терміни розгляду яких були порушен</w:t>
      </w:r>
      <w:r w:rsidR="0046290E" w:rsidRPr="0002052D">
        <w:rPr>
          <w:rFonts w:eastAsia="Times New Roman"/>
          <w:b/>
          <w:color w:val="auto"/>
          <w:szCs w:val="24"/>
          <w:lang w:val="uk-UA"/>
        </w:rPr>
        <w:t xml:space="preserve">і. </w:t>
      </w:r>
    </w:p>
    <w:p w:rsidR="00CE3D34" w:rsidRDefault="008E7C72" w:rsidP="00EA2F96">
      <w:pPr>
        <w:shd w:val="clear" w:color="auto" w:fill="FFFFFF"/>
        <w:jc w:val="both"/>
        <w:rPr>
          <w:rFonts w:eastAsia="Times New Roman"/>
          <w:b/>
          <w:color w:val="auto"/>
          <w:szCs w:val="24"/>
          <w:lang w:val="uk-UA"/>
        </w:rPr>
      </w:pPr>
      <w:r>
        <w:rPr>
          <w:rFonts w:eastAsia="Times New Roman"/>
          <w:b/>
          <w:color w:val="auto"/>
          <w:szCs w:val="24"/>
          <w:lang w:val="uk-UA"/>
        </w:rPr>
        <w:tab/>
        <w:t xml:space="preserve">За перше півріччя 2020 року розглянуто 9 звернень, залишились нерозглянутими </w:t>
      </w:r>
      <w:r w:rsidR="00F40BC6">
        <w:rPr>
          <w:rFonts w:eastAsia="Times New Roman"/>
          <w:b/>
          <w:color w:val="auto"/>
          <w:szCs w:val="24"/>
          <w:lang w:val="uk-UA"/>
        </w:rPr>
        <w:t xml:space="preserve">2 </w:t>
      </w:r>
      <w:r w:rsidR="00EA2F96">
        <w:rPr>
          <w:rFonts w:eastAsia="Times New Roman"/>
          <w:b/>
          <w:color w:val="auto"/>
          <w:szCs w:val="24"/>
          <w:lang w:val="uk-UA"/>
        </w:rPr>
        <w:t xml:space="preserve">(18%) </w:t>
      </w:r>
      <w:r w:rsidR="00F40BC6">
        <w:rPr>
          <w:rFonts w:eastAsia="Times New Roman"/>
          <w:b/>
          <w:color w:val="auto"/>
          <w:szCs w:val="24"/>
          <w:lang w:val="uk-UA"/>
        </w:rPr>
        <w:t>звернення.</w:t>
      </w:r>
      <w:r w:rsidR="00F40BC6" w:rsidRPr="00F40BC6">
        <w:t xml:space="preserve"> </w:t>
      </w:r>
      <w:r w:rsidR="00F40BC6" w:rsidRPr="00F40BC6">
        <w:rPr>
          <w:rFonts w:eastAsia="Times New Roman"/>
          <w:b/>
          <w:color w:val="auto"/>
          <w:szCs w:val="24"/>
          <w:lang w:val="uk-UA"/>
        </w:rPr>
        <w:t>Строком до 5 діб розгл</w:t>
      </w:r>
      <w:r w:rsidR="00F40BC6">
        <w:rPr>
          <w:rFonts w:eastAsia="Times New Roman"/>
          <w:b/>
          <w:color w:val="auto"/>
          <w:szCs w:val="24"/>
          <w:lang w:val="uk-UA"/>
        </w:rPr>
        <w:t xml:space="preserve">януто 1 звернення (9 </w:t>
      </w:r>
      <w:r w:rsidR="00F40BC6" w:rsidRPr="00F40BC6">
        <w:rPr>
          <w:rFonts w:eastAsia="Times New Roman"/>
          <w:b/>
          <w:color w:val="auto"/>
          <w:szCs w:val="24"/>
          <w:lang w:val="uk-UA"/>
        </w:rPr>
        <w:t>%), до 15</w:t>
      </w:r>
      <w:r w:rsidR="00EA2F96">
        <w:rPr>
          <w:rFonts w:eastAsia="Times New Roman"/>
          <w:b/>
          <w:color w:val="auto"/>
          <w:szCs w:val="24"/>
          <w:lang w:val="uk-UA"/>
        </w:rPr>
        <w:t xml:space="preserve"> діб – 8 звернень (73</w:t>
      </w:r>
      <w:r w:rsidR="00F40BC6" w:rsidRPr="00F40BC6">
        <w:rPr>
          <w:rFonts w:eastAsia="Times New Roman"/>
          <w:b/>
          <w:color w:val="auto"/>
          <w:szCs w:val="24"/>
          <w:lang w:val="uk-UA"/>
        </w:rPr>
        <w:t>%). Строки розгляду до 30, 45 діб та більше – відсутні. За аналогічний період 2018 року розглянуто 16 звернень.</w:t>
      </w:r>
      <w:r w:rsidR="00EA2F96">
        <w:rPr>
          <w:rFonts w:eastAsia="Times New Roman"/>
          <w:b/>
          <w:color w:val="auto"/>
          <w:szCs w:val="24"/>
          <w:lang w:val="uk-UA"/>
        </w:rPr>
        <w:t xml:space="preserve"> За аналогічний період 2019 року розглянуто 15 звернень, </w:t>
      </w:r>
      <w:r w:rsidR="004903F6">
        <w:rPr>
          <w:rFonts w:eastAsia="Times New Roman"/>
          <w:b/>
          <w:color w:val="auto"/>
          <w:szCs w:val="24"/>
          <w:lang w:val="uk-UA"/>
        </w:rPr>
        <w:t>залишились не розглянутими два звернення</w:t>
      </w:r>
      <w:r w:rsidR="00CD0722">
        <w:rPr>
          <w:rFonts w:eastAsia="Times New Roman"/>
          <w:b/>
          <w:color w:val="auto"/>
          <w:szCs w:val="24"/>
          <w:lang w:val="uk-UA"/>
        </w:rPr>
        <w:t xml:space="preserve"> ( 11,8</w:t>
      </w:r>
      <w:r w:rsidR="00EB048D">
        <w:rPr>
          <w:rFonts w:eastAsia="Times New Roman"/>
          <w:b/>
          <w:color w:val="auto"/>
          <w:szCs w:val="24"/>
          <w:lang w:val="uk-UA"/>
        </w:rPr>
        <w:t>%)</w:t>
      </w:r>
      <w:r w:rsidR="004903F6">
        <w:rPr>
          <w:rFonts w:eastAsia="Times New Roman"/>
          <w:b/>
          <w:color w:val="auto"/>
          <w:szCs w:val="24"/>
          <w:lang w:val="uk-UA"/>
        </w:rPr>
        <w:t xml:space="preserve">. </w:t>
      </w:r>
      <w:r w:rsidR="00EB048D">
        <w:rPr>
          <w:rFonts w:eastAsia="Times New Roman"/>
          <w:b/>
          <w:color w:val="auto"/>
          <w:szCs w:val="24"/>
          <w:lang w:val="uk-UA"/>
        </w:rPr>
        <w:t>Строком до 5 діб розглянуто 4 звернення (</w:t>
      </w:r>
      <w:r w:rsidR="001160BA">
        <w:rPr>
          <w:rFonts w:eastAsia="Times New Roman"/>
          <w:b/>
          <w:color w:val="auto"/>
          <w:szCs w:val="24"/>
          <w:lang w:val="uk-UA"/>
        </w:rPr>
        <w:t>23,5%), до 15 діб – 11 звернень (64,7%).</w:t>
      </w:r>
      <w:r w:rsidR="001160BA" w:rsidRPr="001160BA">
        <w:rPr>
          <w:rFonts w:eastAsia="Times New Roman"/>
          <w:b/>
          <w:color w:val="auto"/>
          <w:szCs w:val="24"/>
          <w:lang w:val="uk-UA"/>
        </w:rPr>
        <w:t xml:space="preserve"> </w:t>
      </w:r>
      <w:r w:rsidR="001160BA">
        <w:rPr>
          <w:rFonts w:eastAsia="Times New Roman"/>
          <w:b/>
          <w:color w:val="auto"/>
          <w:szCs w:val="24"/>
          <w:lang w:val="uk-UA"/>
        </w:rPr>
        <w:t xml:space="preserve">Строки розгляду до 30, </w:t>
      </w:r>
      <w:r w:rsidR="001160BA" w:rsidRPr="0085341D">
        <w:rPr>
          <w:rFonts w:eastAsia="Times New Roman"/>
          <w:b/>
          <w:color w:val="auto"/>
          <w:szCs w:val="24"/>
          <w:lang w:val="uk-UA"/>
        </w:rPr>
        <w:t>45 діб та більше – відсутні.</w:t>
      </w:r>
      <w:r w:rsidR="001160BA">
        <w:rPr>
          <w:rFonts w:eastAsia="Times New Roman"/>
          <w:b/>
          <w:color w:val="auto"/>
          <w:szCs w:val="24"/>
          <w:lang w:val="uk-UA"/>
        </w:rPr>
        <w:t xml:space="preserve"> </w:t>
      </w:r>
    </w:p>
    <w:p w:rsidR="00EA2F96" w:rsidRDefault="00EA2F96" w:rsidP="00EA2F96">
      <w:pPr>
        <w:shd w:val="clear" w:color="auto" w:fill="FFFFFF"/>
        <w:jc w:val="both"/>
        <w:rPr>
          <w:rFonts w:eastAsia="Times New Roman"/>
          <w:b/>
          <w:color w:val="auto"/>
          <w:szCs w:val="24"/>
          <w:lang w:val="uk-UA"/>
        </w:rPr>
      </w:pPr>
    </w:p>
    <w:p w:rsidR="00E65523" w:rsidRPr="00E65523" w:rsidRDefault="00E65523" w:rsidP="00E65523">
      <w:pPr>
        <w:shd w:val="clear" w:color="auto" w:fill="FFFFFF"/>
        <w:jc w:val="center"/>
        <w:rPr>
          <w:rFonts w:eastAsia="Times New Roman"/>
          <w:b/>
          <w:color w:val="auto"/>
          <w:szCs w:val="24"/>
          <w:lang w:val="uk-UA"/>
        </w:rPr>
      </w:pPr>
      <w:r w:rsidRPr="00E65523">
        <w:rPr>
          <w:rFonts w:eastAsia="Times New Roman"/>
          <w:b/>
          <w:color w:val="auto"/>
          <w:szCs w:val="24"/>
          <w:lang w:val="uk-UA"/>
        </w:rPr>
        <w:t>Строки розгляду звернень громадян за перше півріччі 2020 року у порівнянні</w:t>
      </w:r>
    </w:p>
    <w:p w:rsidR="00E65523" w:rsidRPr="00E65523" w:rsidRDefault="00E65523" w:rsidP="00E65523">
      <w:pPr>
        <w:shd w:val="clear" w:color="auto" w:fill="FFFFFF"/>
        <w:jc w:val="center"/>
        <w:rPr>
          <w:rFonts w:eastAsia="Times New Roman"/>
          <w:b/>
          <w:color w:val="auto"/>
          <w:szCs w:val="24"/>
          <w:lang w:val="uk-UA"/>
        </w:rPr>
      </w:pPr>
      <w:r w:rsidRPr="00E65523">
        <w:rPr>
          <w:rFonts w:eastAsia="Times New Roman"/>
          <w:b/>
          <w:color w:val="auto"/>
          <w:szCs w:val="24"/>
          <w:lang w:val="uk-UA"/>
        </w:rPr>
        <w:t>з першим півріччям 2019 року.</w:t>
      </w:r>
    </w:p>
    <w:p w:rsidR="0085341D" w:rsidRDefault="0085341D" w:rsidP="00F553DA">
      <w:pPr>
        <w:widowControl/>
        <w:contextualSpacing/>
        <w:jc w:val="both"/>
        <w:rPr>
          <w:rFonts w:eastAsia="Calibri"/>
          <w:b/>
          <w:color w:val="auto"/>
          <w:szCs w:val="24"/>
          <w:lang w:val="uk-UA" w:eastAsia="en-US"/>
        </w:rPr>
      </w:pPr>
    </w:p>
    <w:p w:rsidR="009B14A9" w:rsidRDefault="009B14A9" w:rsidP="009B14A9">
      <w:pPr>
        <w:jc w:val="center"/>
      </w:pPr>
    </w:p>
    <w:p w:rsidR="009B14A9" w:rsidRDefault="009B14A9" w:rsidP="009B14A9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 wp14:anchorId="409AF5DB" wp14:editId="13D69C84">
            <wp:extent cx="5486400" cy="3377682"/>
            <wp:effectExtent l="0" t="0" r="0" b="13335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9B14A9" w:rsidRDefault="009B14A9" w:rsidP="009B14A9">
      <w:pPr>
        <w:jc w:val="center"/>
      </w:pPr>
    </w:p>
    <w:p w:rsidR="009B14A9" w:rsidRDefault="009B14A9" w:rsidP="00F553DA">
      <w:pPr>
        <w:widowControl/>
        <w:contextualSpacing/>
        <w:jc w:val="both"/>
        <w:rPr>
          <w:rFonts w:eastAsia="Calibri"/>
          <w:b/>
          <w:color w:val="auto"/>
          <w:szCs w:val="24"/>
          <w:lang w:val="uk-UA" w:eastAsia="en-US"/>
        </w:rPr>
      </w:pPr>
    </w:p>
    <w:p w:rsidR="00AA5BF3" w:rsidRPr="001D696C" w:rsidRDefault="008A2F54" w:rsidP="001D696C">
      <w:pPr>
        <w:ind w:firstLine="708"/>
        <w:contextualSpacing/>
        <w:jc w:val="both"/>
        <w:rPr>
          <w:b/>
          <w:szCs w:val="24"/>
          <w:lang w:val="uk-UA"/>
        </w:rPr>
      </w:pPr>
      <w:r>
        <w:rPr>
          <w:rFonts w:eastAsia="Times New Roman"/>
          <w:b/>
          <w:color w:val="auto"/>
          <w:szCs w:val="24"/>
          <w:lang w:val="uk-UA"/>
        </w:rPr>
        <w:t>Основними завданнями а</w:t>
      </w:r>
      <w:r w:rsidR="00A16659" w:rsidRPr="00A16659">
        <w:rPr>
          <w:rFonts w:eastAsia="Times New Roman"/>
          <w:b/>
          <w:color w:val="auto"/>
          <w:szCs w:val="24"/>
          <w:lang w:val="uk-UA"/>
        </w:rPr>
        <w:t>наліз</w:t>
      </w:r>
      <w:r>
        <w:rPr>
          <w:rFonts w:eastAsia="Times New Roman"/>
          <w:b/>
          <w:color w:val="auto"/>
          <w:szCs w:val="24"/>
          <w:lang w:val="uk-UA"/>
        </w:rPr>
        <w:t>у</w:t>
      </w:r>
      <w:r w:rsidR="00A16659" w:rsidRPr="00A16659">
        <w:rPr>
          <w:rFonts w:eastAsia="Times New Roman"/>
          <w:b/>
          <w:color w:val="auto"/>
          <w:szCs w:val="24"/>
          <w:lang w:val="uk-UA"/>
        </w:rPr>
        <w:t xml:space="preserve"> роботи зі зверненнями громадян </w:t>
      </w:r>
      <w:r>
        <w:rPr>
          <w:rFonts w:eastAsia="Times New Roman"/>
          <w:b/>
          <w:color w:val="auto"/>
          <w:szCs w:val="24"/>
          <w:lang w:val="uk-UA"/>
        </w:rPr>
        <w:t xml:space="preserve">є </w:t>
      </w:r>
      <w:r w:rsidR="00A16659" w:rsidRPr="00A16659">
        <w:rPr>
          <w:rFonts w:eastAsia="Times New Roman"/>
          <w:b/>
          <w:color w:val="auto"/>
          <w:szCs w:val="24"/>
          <w:lang w:val="uk-UA"/>
        </w:rPr>
        <w:t>виявлення найбільш поширених недоліків, що мають місце у цій роботі та їх причин,</w:t>
      </w:r>
      <w:r>
        <w:rPr>
          <w:rFonts w:eastAsia="Times New Roman"/>
          <w:b/>
          <w:color w:val="auto"/>
          <w:szCs w:val="24"/>
          <w:lang w:val="uk-UA"/>
        </w:rPr>
        <w:t xml:space="preserve"> </w:t>
      </w:r>
      <w:r w:rsidR="00A16659" w:rsidRPr="00A16659">
        <w:rPr>
          <w:rFonts w:eastAsia="Times New Roman"/>
          <w:b/>
          <w:color w:val="auto"/>
          <w:szCs w:val="24"/>
          <w:lang w:val="uk-UA"/>
        </w:rPr>
        <w:t>усунення та недопущення в подальшій роботі. С</w:t>
      </w:r>
      <w:r w:rsidR="001D696C">
        <w:rPr>
          <w:rFonts w:eastAsia="Times New Roman"/>
          <w:b/>
          <w:color w:val="auto"/>
          <w:szCs w:val="24"/>
          <w:lang w:val="uk-UA"/>
        </w:rPr>
        <w:t xml:space="preserve">аме тому </w:t>
      </w:r>
      <w:r w:rsidR="00A7643C">
        <w:rPr>
          <w:rFonts w:eastAsia="Times New Roman"/>
          <w:b/>
          <w:color w:val="auto"/>
          <w:szCs w:val="24"/>
          <w:lang w:val="uk-UA"/>
        </w:rPr>
        <w:t>керівництво</w:t>
      </w:r>
      <w:r w:rsidR="00140F3C">
        <w:rPr>
          <w:rFonts w:eastAsia="Times New Roman"/>
          <w:b/>
          <w:color w:val="auto"/>
          <w:szCs w:val="24"/>
          <w:lang w:val="uk-UA"/>
        </w:rPr>
        <w:t xml:space="preserve"> суду</w:t>
      </w:r>
      <w:r w:rsidR="001D696C">
        <w:rPr>
          <w:rFonts w:eastAsia="Times New Roman"/>
          <w:b/>
          <w:color w:val="auto"/>
          <w:szCs w:val="24"/>
          <w:lang w:val="uk-UA"/>
        </w:rPr>
        <w:t xml:space="preserve"> </w:t>
      </w:r>
      <w:r w:rsidR="00E77430" w:rsidRPr="00E77430">
        <w:rPr>
          <w:rFonts w:eastAsia="Times New Roman"/>
          <w:b/>
          <w:color w:val="auto"/>
          <w:szCs w:val="24"/>
          <w:lang w:val="uk-UA"/>
        </w:rPr>
        <w:t>приділяє постійну увагу удосконаленню організації роботи у напрямках та питаннях, порушених у зверненнях громадян у звітному році, посиленню персональної відповідальності працівників за об’єктивний, неупереджений  і своєчасний розгляд звернень громадян.</w:t>
      </w:r>
    </w:p>
    <w:p w:rsidR="00B11195" w:rsidRPr="00B11195" w:rsidRDefault="00B11195" w:rsidP="00BF2F36">
      <w:pPr>
        <w:widowControl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</w:p>
    <w:p w:rsidR="006970BF" w:rsidRDefault="00B11195" w:rsidP="0025415E">
      <w:pPr>
        <w:ind w:left="-357" w:firstLine="357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  <w:r w:rsidRPr="00B11195">
        <w:rPr>
          <w:rFonts w:eastAsia="Times New Roman"/>
          <w:b/>
          <w:color w:val="auto"/>
          <w:szCs w:val="24"/>
          <w:lang w:val="uk-UA"/>
        </w:rPr>
        <w:tab/>
      </w:r>
    </w:p>
    <w:p w:rsidR="006970BF" w:rsidRDefault="006970BF" w:rsidP="00F553DA">
      <w:pPr>
        <w:ind w:left="-357" w:firstLine="357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</w:p>
    <w:p w:rsidR="006970BF" w:rsidRDefault="006970BF" w:rsidP="00F553DA">
      <w:pPr>
        <w:ind w:left="-357" w:firstLine="357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</w:p>
    <w:p w:rsidR="0025415E" w:rsidRDefault="001D696C" w:rsidP="00E65523">
      <w:pPr>
        <w:ind w:left="-357" w:firstLine="357"/>
        <w:contextualSpacing/>
        <w:jc w:val="both"/>
        <w:rPr>
          <w:rFonts w:ascii="Arial Narrow" w:eastAsia="Times New Roman" w:hAnsi="Arial Narrow"/>
          <w:color w:val="auto"/>
          <w:sz w:val="16"/>
          <w:szCs w:val="16"/>
          <w:lang w:val="uk-UA"/>
        </w:rPr>
      </w:pPr>
      <w:r>
        <w:rPr>
          <w:rFonts w:eastAsia="Times New Roman"/>
          <w:b/>
          <w:color w:val="auto"/>
          <w:szCs w:val="24"/>
          <w:lang w:val="uk-UA"/>
        </w:rPr>
        <w:tab/>
      </w:r>
      <w:r>
        <w:rPr>
          <w:rFonts w:eastAsia="Times New Roman"/>
          <w:b/>
          <w:color w:val="auto"/>
          <w:szCs w:val="24"/>
          <w:lang w:val="uk-UA"/>
        </w:rPr>
        <w:tab/>
      </w:r>
      <w:r w:rsidR="006970BF">
        <w:rPr>
          <w:rFonts w:eastAsia="Times New Roman"/>
          <w:b/>
          <w:color w:val="auto"/>
          <w:szCs w:val="24"/>
          <w:lang w:val="uk-UA"/>
        </w:rPr>
        <w:t>Голова</w:t>
      </w:r>
      <w:r w:rsidR="00786C3C">
        <w:rPr>
          <w:rFonts w:eastAsia="Times New Roman"/>
          <w:b/>
          <w:color w:val="auto"/>
          <w:szCs w:val="24"/>
          <w:lang w:val="uk-UA"/>
        </w:rPr>
        <w:t xml:space="preserve"> суду</w:t>
      </w:r>
      <w:r w:rsidR="00786C3C">
        <w:rPr>
          <w:rFonts w:eastAsia="Times New Roman"/>
          <w:b/>
          <w:color w:val="auto"/>
          <w:szCs w:val="24"/>
          <w:lang w:val="uk-UA"/>
        </w:rPr>
        <w:tab/>
      </w:r>
      <w:r w:rsidR="00786C3C">
        <w:rPr>
          <w:rFonts w:eastAsia="Times New Roman"/>
          <w:b/>
          <w:color w:val="auto"/>
          <w:szCs w:val="24"/>
          <w:lang w:val="uk-UA"/>
        </w:rPr>
        <w:tab/>
      </w:r>
      <w:r w:rsidR="00786C3C">
        <w:rPr>
          <w:rFonts w:eastAsia="Times New Roman"/>
          <w:b/>
          <w:color w:val="auto"/>
          <w:szCs w:val="24"/>
          <w:lang w:val="uk-UA"/>
        </w:rPr>
        <w:tab/>
      </w:r>
      <w:r w:rsidR="00786C3C">
        <w:rPr>
          <w:rFonts w:eastAsia="Times New Roman"/>
          <w:b/>
          <w:color w:val="auto"/>
          <w:szCs w:val="24"/>
          <w:lang w:val="uk-UA"/>
        </w:rPr>
        <w:tab/>
      </w:r>
      <w:r w:rsidR="00786C3C">
        <w:rPr>
          <w:rFonts w:eastAsia="Times New Roman"/>
          <w:b/>
          <w:color w:val="auto"/>
          <w:szCs w:val="24"/>
          <w:lang w:val="uk-UA"/>
        </w:rPr>
        <w:tab/>
      </w:r>
      <w:r w:rsidR="00786C3C">
        <w:rPr>
          <w:rFonts w:eastAsia="Times New Roman"/>
          <w:b/>
          <w:color w:val="auto"/>
          <w:szCs w:val="24"/>
          <w:lang w:val="uk-UA"/>
        </w:rPr>
        <w:tab/>
      </w:r>
      <w:r w:rsidR="00E65523">
        <w:rPr>
          <w:rFonts w:eastAsia="Times New Roman"/>
          <w:b/>
          <w:color w:val="auto"/>
          <w:szCs w:val="24"/>
          <w:lang w:val="uk-UA"/>
        </w:rPr>
        <w:tab/>
        <w:t>О.В. Глібко</w:t>
      </w:r>
      <w:r w:rsidR="00B11195" w:rsidRPr="00B11195">
        <w:rPr>
          <w:rFonts w:ascii="Arial Narrow" w:eastAsia="Times New Roman" w:hAnsi="Arial Narrow"/>
          <w:color w:val="auto"/>
          <w:sz w:val="16"/>
          <w:szCs w:val="16"/>
          <w:lang w:val="uk-UA"/>
        </w:rPr>
        <w:tab/>
      </w:r>
    </w:p>
    <w:p w:rsidR="0025415E" w:rsidRDefault="0025415E" w:rsidP="00E65523">
      <w:pPr>
        <w:ind w:left="-357" w:firstLine="357"/>
        <w:contextualSpacing/>
        <w:jc w:val="both"/>
        <w:rPr>
          <w:rFonts w:ascii="Arial Narrow" w:eastAsia="Times New Roman" w:hAnsi="Arial Narrow"/>
          <w:color w:val="auto"/>
          <w:sz w:val="16"/>
          <w:szCs w:val="16"/>
          <w:lang w:val="uk-UA"/>
        </w:rPr>
      </w:pPr>
    </w:p>
    <w:p w:rsidR="0025415E" w:rsidRDefault="0025415E" w:rsidP="00E65523">
      <w:pPr>
        <w:ind w:left="-357" w:firstLine="357"/>
        <w:contextualSpacing/>
        <w:jc w:val="both"/>
        <w:rPr>
          <w:rFonts w:ascii="Arial Narrow" w:eastAsia="Times New Roman" w:hAnsi="Arial Narrow"/>
          <w:color w:val="auto"/>
          <w:sz w:val="16"/>
          <w:szCs w:val="16"/>
          <w:lang w:val="uk-UA"/>
        </w:rPr>
      </w:pPr>
    </w:p>
    <w:p w:rsidR="00B11195" w:rsidRPr="00E65523" w:rsidRDefault="00B11195" w:rsidP="00E65523">
      <w:pPr>
        <w:ind w:left="-357" w:firstLine="357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  <w:r w:rsidRPr="00B11195">
        <w:rPr>
          <w:rFonts w:ascii="Arial Narrow" w:eastAsia="Times New Roman" w:hAnsi="Arial Narrow"/>
          <w:color w:val="auto"/>
          <w:sz w:val="16"/>
          <w:szCs w:val="16"/>
          <w:lang w:val="uk-UA"/>
        </w:rPr>
        <w:tab/>
      </w:r>
      <w:r w:rsidRPr="00B11195">
        <w:rPr>
          <w:rFonts w:ascii="Arial Narrow" w:eastAsia="Times New Roman" w:hAnsi="Arial Narrow"/>
          <w:color w:val="auto"/>
          <w:sz w:val="16"/>
          <w:szCs w:val="16"/>
          <w:lang w:val="uk-UA"/>
        </w:rPr>
        <w:tab/>
      </w:r>
      <w:r w:rsidRPr="00B11195">
        <w:rPr>
          <w:rFonts w:ascii="Arial Narrow" w:eastAsia="Times New Roman" w:hAnsi="Arial Narrow"/>
          <w:color w:val="auto"/>
          <w:sz w:val="16"/>
          <w:szCs w:val="16"/>
          <w:lang w:val="uk-UA"/>
        </w:rPr>
        <w:tab/>
      </w:r>
      <w:r w:rsidRPr="00B11195">
        <w:rPr>
          <w:rFonts w:ascii="Arial Narrow" w:eastAsia="Times New Roman" w:hAnsi="Arial Narrow"/>
          <w:color w:val="auto"/>
          <w:sz w:val="16"/>
          <w:szCs w:val="16"/>
          <w:lang w:val="uk-UA"/>
        </w:rPr>
        <w:tab/>
      </w:r>
    </w:p>
    <w:p w:rsidR="00B11195" w:rsidRPr="00B11195" w:rsidRDefault="00B11195" w:rsidP="00F553DA">
      <w:pPr>
        <w:ind w:left="-357" w:firstLine="357"/>
        <w:contextualSpacing/>
        <w:jc w:val="both"/>
        <w:rPr>
          <w:rFonts w:eastAsia="Times New Roman"/>
          <w:color w:val="auto"/>
          <w:sz w:val="20"/>
          <w:lang w:val="uk-UA"/>
        </w:rPr>
      </w:pPr>
      <w:r w:rsidRPr="00B11195">
        <w:rPr>
          <w:rFonts w:eastAsia="Times New Roman"/>
          <w:color w:val="auto"/>
          <w:sz w:val="20"/>
          <w:lang w:val="uk-UA"/>
        </w:rPr>
        <w:t xml:space="preserve">Виконавець : </w:t>
      </w:r>
    </w:p>
    <w:p w:rsidR="00B11195" w:rsidRPr="00B11195" w:rsidRDefault="00B11195" w:rsidP="00F553DA">
      <w:pPr>
        <w:ind w:left="-357" w:firstLine="357"/>
        <w:contextualSpacing/>
        <w:jc w:val="both"/>
        <w:rPr>
          <w:rFonts w:eastAsia="Times New Roman"/>
          <w:color w:val="auto"/>
          <w:sz w:val="20"/>
          <w:lang w:val="uk-UA"/>
        </w:rPr>
      </w:pPr>
      <w:r w:rsidRPr="00B11195">
        <w:rPr>
          <w:rFonts w:eastAsia="Times New Roman"/>
          <w:color w:val="auto"/>
          <w:sz w:val="20"/>
          <w:lang w:val="uk-UA"/>
        </w:rPr>
        <w:t xml:space="preserve">заступник  керівника </w:t>
      </w:r>
    </w:p>
    <w:p w:rsidR="00B11195" w:rsidRPr="00B11195" w:rsidRDefault="00BF2F36" w:rsidP="00F553DA">
      <w:pPr>
        <w:ind w:left="-357" w:firstLine="357"/>
        <w:contextualSpacing/>
        <w:jc w:val="both"/>
        <w:rPr>
          <w:rFonts w:eastAsia="Times New Roman"/>
          <w:color w:val="auto"/>
          <w:sz w:val="20"/>
          <w:lang w:val="uk-UA"/>
        </w:rPr>
      </w:pPr>
      <w:r>
        <w:rPr>
          <w:rFonts w:eastAsia="Times New Roman"/>
          <w:color w:val="auto"/>
          <w:sz w:val="20"/>
          <w:lang w:val="uk-UA"/>
        </w:rPr>
        <w:t>апарату Галицька</w:t>
      </w:r>
      <w:r w:rsidR="00B11195" w:rsidRPr="00B11195">
        <w:rPr>
          <w:rFonts w:eastAsia="Times New Roman"/>
          <w:color w:val="auto"/>
          <w:sz w:val="20"/>
          <w:lang w:val="uk-UA"/>
        </w:rPr>
        <w:t xml:space="preserve"> Г.В.</w:t>
      </w:r>
    </w:p>
    <w:p w:rsidR="001D63C6" w:rsidRPr="00BF2F36" w:rsidRDefault="00B11195" w:rsidP="00BF2F36">
      <w:pPr>
        <w:widowControl/>
        <w:contextualSpacing/>
        <w:rPr>
          <w:rFonts w:eastAsia="Times New Roman"/>
          <w:color w:val="auto"/>
          <w:sz w:val="20"/>
          <w:lang w:val="uk-UA"/>
        </w:rPr>
      </w:pPr>
      <w:proofErr w:type="spellStart"/>
      <w:r w:rsidRPr="00B11195">
        <w:rPr>
          <w:rFonts w:eastAsia="Times New Roman"/>
          <w:color w:val="auto"/>
          <w:sz w:val="20"/>
          <w:lang w:val="uk-UA"/>
        </w:rPr>
        <w:t>тел</w:t>
      </w:r>
      <w:proofErr w:type="spellEnd"/>
      <w:r w:rsidRPr="00B11195">
        <w:rPr>
          <w:rFonts w:eastAsia="Times New Roman"/>
          <w:color w:val="auto"/>
          <w:sz w:val="20"/>
          <w:lang w:val="uk-UA"/>
        </w:rPr>
        <w:t>.  93-50-23</w:t>
      </w:r>
      <w:r w:rsidRPr="00B11195">
        <w:rPr>
          <w:rFonts w:eastAsia="Times New Roman"/>
          <w:b/>
          <w:color w:val="auto"/>
          <w:sz w:val="20"/>
          <w:lang w:val="uk-UA"/>
        </w:rPr>
        <w:tab/>
      </w:r>
    </w:p>
    <w:sectPr w:rsidR="001D63C6" w:rsidRPr="00BF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2B"/>
    <w:rsid w:val="00005A93"/>
    <w:rsid w:val="0002052D"/>
    <w:rsid w:val="00020C69"/>
    <w:rsid w:val="00021CBC"/>
    <w:rsid w:val="000243E8"/>
    <w:rsid w:val="000524AE"/>
    <w:rsid w:val="0007334D"/>
    <w:rsid w:val="000D552C"/>
    <w:rsid w:val="00111C2C"/>
    <w:rsid w:val="001160BA"/>
    <w:rsid w:val="00116EF4"/>
    <w:rsid w:val="00140F3C"/>
    <w:rsid w:val="00167165"/>
    <w:rsid w:val="001833C5"/>
    <w:rsid w:val="0018638A"/>
    <w:rsid w:val="001A0CBA"/>
    <w:rsid w:val="001A132B"/>
    <w:rsid w:val="001A446D"/>
    <w:rsid w:val="001B0E5F"/>
    <w:rsid w:val="001C4F4C"/>
    <w:rsid w:val="001D63C6"/>
    <w:rsid w:val="001D696C"/>
    <w:rsid w:val="001E47E8"/>
    <w:rsid w:val="001F42BD"/>
    <w:rsid w:val="00201465"/>
    <w:rsid w:val="00205B35"/>
    <w:rsid w:val="00210F6D"/>
    <w:rsid w:val="00214C25"/>
    <w:rsid w:val="002276A7"/>
    <w:rsid w:val="00245F9A"/>
    <w:rsid w:val="00247859"/>
    <w:rsid w:val="0025415E"/>
    <w:rsid w:val="00274874"/>
    <w:rsid w:val="00284728"/>
    <w:rsid w:val="0029735F"/>
    <w:rsid w:val="002A708E"/>
    <w:rsid w:val="002B03F7"/>
    <w:rsid w:val="002D11EB"/>
    <w:rsid w:val="002E0D1A"/>
    <w:rsid w:val="002F19D7"/>
    <w:rsid w:val="002F2D0F"/>
    <w:rsid w:val="00320194"/>
    <w:rsid w:val="00325BC5"/>
    <w:rsid w:val="00332ECE"/>
    <w:rsid w:val="003423F3"/>
    <w:rsid w:val="0034559F"/>
    <w:rsid w:val="003455B7"/>
    <w:rsid w:val="00353649"/>
    <w:rsid w:val="00354673"/>
    <w:rsid w:val="00354AF9"/>
    <w:rsid w:val="00363A20"/>
    <w:rsid w:val="0037237D"/>
    <w:rsid w:val="0037573D"/>
    <w:rsid w:val="00376825"/>
    <w:rsid w:val="003827D7"/>
    <w:rsid w:val="00386DB7"/>
    <w:rsid w:val="003A5BA1"/>
    <w:rsid w:val="003B201B"/>
    <w:rsid w:val="003B2EF1"/>
    <w:rsid w:val="003B6173"/>
    <w:rsid w:val="003C2E8F"/>
    <w:rsid w:val="003E1D71"/>
    <w:rsid w:val="003F1613"/>
    <w:rsid w:val="00407E9A"/>
    <w:rsid w:val="004239E9"/>
    <w:rsid w:val="00432F93"/>
    <w:rsid w:val="00433D06"/>
    <w:rsid w:val="0046290E"/>
    <w:rsid w:val="0046478F"/>
    <w:rsid w:val="004903F6"/>
    <w:rsid w:val="004B3706"/>
    <w:rsid w:val="004B7C29"/>
    <w:rsid w:val="004C0539"/>
    <w:rsid w:val="004C5F8A"/>
    <w:rsid w:val="004D108A"/>
    <w:rsid w:val="004D349C"/>
    <w:rsid w:val="004E24EF"/>
    <w:rsid w:val="004F52A2"/>
    <w:rsid w:val="004F6497"/>
    <w:rsid w:val="00531764"/>
    <w:rsid w:val="005A3B06"/>
    <w:rsid w:val="005A5F31"/>
    <w:rsid w:val="005B1B2C"/>
    <w:rsid w:val="005B64A1"/>
    <w:rsid w:val="005D22F9"/>
    <w:rsid w:val="005D7B33"/>
    <w:rsid w:val="00600610"/>
    <w:rsid w:val="00610834"/>
    <w:rsid w:val="00613E0E"/>
    <w:rsid w:val="006326B5"/>
    <w:rsid w:val="006331D0"/>
    <w:rsid w:val="006333B4"/>
    <w:rsid w:val="00652062"/>
    <w:rsid w:val="006659C0"/>
    <w:rsid w:val="006661AF"/>
    <w:rsid w:val="00675C62"/>
    <w:rsid w:val="006970BF"/>
    <w:rsid w:val="006A5140"/>
    <w:rsid w:val="006B0312"/>
    <w:rsid w:val="006D556B"/>
    <w:rsid w:val="00704EFF"/>
    <w:rsid w:val="00711ED5"/>
    <w:rsid w:val="00736834"/>
    <w:rsid w:val="00786C3C"/>
    <w:rsid w:val="00792BF7"/>
    <w:rsid w:val="007931EB"/>
    <w:rsid w:val="007A2FAD"/>
    <w:rsid w:val="00807A3B"/>
    <w:rsid w:val="00810F33"/>
    <w:rsid w:val="008220B4"/>
    <w:rsid w:val="00824618"/>
    <w:rsid w:val="008248FF"/>
    <w:rsid w:val="008361B0"/>
    <w:rsid w:val="008404E9"/>
    <w:rsid w:val="00841DF2"/>
    <w:rsid w:val="0085341D"/>
    <w:rsid w:val="008A2F54"/>
    <w:rsid w:val="008A374C"/>
    <w:rsid w:val="008D7432"/>
    <w:rsid w:val="008E7C72"/>
    <w:rsid w:val="008F029F"/>
    <w:rsid w:val="008F5C8F"/>
    <w:rsid w:val="00920E15"/>
    <w:rsid w:val="009261E2"/>
    <w:rsid w:val="009752AE"/>
    <w:rsid w:val="009813BE"/>
    <w:rsid w:val="00987BA9"/>
    <w:rsid w:val="009A4109"/>
    <w:rsid w:val="009B14A9"/>
    <w:rsid w:val="009B3753"/>
    <w:rsid w:val="009B5C93"/>
    <w:rsid w:val="009C7D2E"/>
    <w:rsid w:val="009D29D4"/>
    <w:rsid w:val="009E2E63"/>
    <w:rsid w:val="009E33D9"/>
    <w:rsid w:val="009E3D7C"/>
    <w:rsid w:val="00A029E1"/>
    <w:rsid w:val="00A05AB1"/>
    <w:rsid w:val="00A16659"/>
    <w:rsid w:val="00A3790B"/>
    <w:rsid w:val="00A7643C"/>
    <w:rsid w:val="00A86401"/>
    <w:rsid w:val="00AA3E2E"/>
    <w:rsid w:val="00AA5BF3"/>
    <w:rsid w:val="00AB7C53"/>
    <w:rsid w:val="00AC1286"/>
    <w:rsid w:val="00AE32D4"/>
    <w:rsid w:val="00B11195"/>
    <w:rsid w:val="00B131DA"/>
    <w:rsid w:val="00B16390"/>
    <w:rsid w:val="00B2391B"/>
    <w:rsid w:val="00B25279"/>
    <w:rsid w:val="00B378D0"/>
    <w:rsid w:val="00B40FC7"/>
    <w:rsid w:val="00B446CC"/>
    <w:rsid w:val="00B54E4C"/>
    <w:rsid w:val="00B61740"/>
    <w:rsid w:val="00BA4B03"/>
    <w:rsid w:val="00BC7E6A"/>
    <w:rsid w:val="00BE1FFD"/>
    <w:rsid w:val="00BF2F36"/>
    <w:rsid w:val="00BF4476"/>
    <w:rsid w:val="00C00C52"/>
    <w:rsid w:val="00C045EA"/>
    <w:rsid w:val="00C161F6"/>
    <w:rsid w:val="00C22150"/>
    <w:rsid w:val="00C27F76"/>
    <w:rsid w:val="00C3262E"/>
    <w:rsid w:val="00C51A81"/>
    <w:rsid w:val="00C56028"/>
    <w:rsid w:val="00C9793C"/>
    <w:rsid w:val="00CA5354"/>
    <w:rsid w:val="00CA6757"/>
    <w:rsid w:val="00CB7A55"/>
    <w:rsid w:val="00CC2C8E"/>
    <w:rsid w:val="00CD0722"/>
    <w:rsid w:val="00CD7C8F"/>
    <w:rsid w:val="00CE3D34"/>
    <w:rsid w:val="00CF52A0"/>
    <w:rsid w:val="00D20648"/>
    <w:rsid w:val="00D26520"/>
    <w:rsid w:val="00D47D06"/>
    <w:rsid w:val="00D53B95"/>
    <w:rsid w:val="00D57F0B"/>
    <w:rsid w:val="00D645B0"/>
    <w:rsid w:val="00DB38BB"/>
    <w:rsid w:val="00DB785A"/>
    <w:rsid w:val="00DB7DB5"/>
    <w:rsid w:val="00DD538E"/>
    <w:rsid w:val="00DF08FF"/>
    <w:rsid w:val="00E1674A"/>
    <w:rsid w:val="00E241B5"/>
    <w:rsid w:val="00E42430"/>
    <w:rsid w:val="00E56C08"/>
    <w:rsid w:val="00E65523"/>
    <w:rsid w:val="00E70EE8"/>
    <w:rsid w:val="00E71877"/>
    <w:rsid w:val="00E76D8C"/>
    <w:rsid w:val="00E77430"/>
    <w:rsid w:val="00E90D73"/>
    <w:rsid w:val="00E915C9"/>
    <w:rsid w:val="00E92E61"/>
    <w:rsid w:val="00EA2F96"/>
    <w:rsid w:val="00EB048D"/>
    <w:rsid w:val="00ED0DD6"/>
    <w:rsid w:val="00ED64C3"/>
    <w:rsid w:val="00EE0911"/>
    <w:rsid w:val="00EF6A23"/>
    <w:rsid w:val="00F02FCB"/>
    <w:rsid w:val="00F14781"/>
    <w:rsid w:val="00F304A9"/>
    <w:rsid w:val="00F333F3"/>
    <w:rsid w:val="00F40BC6"/>
    <w:rsid w:val="00F4146B"/>
    <w:rsid w:val="00F553DA"/>
    <w:rsid w:val="00F62B45"/>
    <w:rsid w:val="00F66292"/>
    <w:rsid w:val="00F720AE"/>
    <w:rsid w:val="00F94F6D"/>
    <w:rsid w:val="00F95670"/>
    <w:rsid w:val="00FC0026"/>
    <w:rsid w:val="00FC7145"/>
    <w:rsid w:val="00F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8B7FF0-122D-4860-A2BD-5C3525DF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06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D06"/>
    <w:rPr>
      <w:rFonts w:ascii="Tahoma" w:eastAsia="HG Mincho Light J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C7E6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19342373869928E-2"/>
          <c:y val="0.10615079365079365"/>
          <c:w val="0.45949074074074076"/>
          <c:h val="0.787698412698412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звернень громадян</c:v>
                </c:pt>
              </c:strCache>
            </c:strRef>
          </c:tx>
          <c:explosion val="3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F21-4E4D-97EB-94B60F8636D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21-4E4D-97EB-94B60F8636D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F21-4E4D-97EB-94B60F8636D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F21-4E4D-97EB-94B60F8636D2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F21-4E4D-97EB-94B60F8636D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про незгоду з судовим рышенням</c:v>
                </c:pt>
                <c:pt idx="1">
                  <c:v>на дії суддів</c:v>
                </c:pt>
                <c:pt idx="2">
                  <c:v>на тривалий не розгляд справ і тяганину при розгляді</c:v>
                </c:pt>
                <c:pt idx="4">
                  <c:v>на організацію роботи суду</c:v>
                </c:pt>
                <c:pt idx="5">
                  <c:v>інші питання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55</c:v>
                </c:pt>
                <c:pt idx="2">
                  <c:v>9</c:v>
                </c:pt>
                <c:pt idx="4">
                  <c:v>9</c:v>
                </c:pt>
                <c:pt idx="5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F21-4E4D-97EB-94B60F8636D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19342373869928E-2"/>
          <c:y val="0.10615079365079365"/>
          <c:w val="0.45949074074074076"/>
          <c:h val="0.787698412698412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звернень громадян</c:v>
                </c:pt>
              </c:strCache>
            </c:strRef>
          </c:tx>
          <c:explosion val="3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93-48CE-A23F-13983E68D04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93-48CE-A23F-13983E68D04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93-48CE-A23F-13983E68D04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93-48CE-A23F-13983E68D044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193-48CE-A23F-13983E68D04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 не видачу копій судових рішень</c:v>
                </c:pt>
                <c:pt idx="1">
                  <c:v>на дії суддів</c:v>
                </c:pt>
                <c:pt idx="2">
                  <c:v>на тривалий не розгляд справ і тяганину при розгляді</c:v>
                </c:pt>
                <c:pt idx="4">
                  <c:v>на організацію роботи суду</c:v>
                </c:pt>
                <c:pt idx="5">
                  <c:v>інші питання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47</c:v>
                </c:pt>
                <c:pt idx="2">
                  <c:v>6</c:v>
                </c:pt>
                <c:pt idx="4">
                  <c:v>35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193-48CE-A23F-13983E68D04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935586176727914E-2"/>
          <c:y val="0.14718253968253969"/>
          <c:w val="0.71073108048993872"/>
          <c:h val="0.6699865641794775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Не розглянуті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70C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Аркуш1!$A$2:$A$3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Аркуш1!$B$2:$B$3</c:f>
              <c:numCache>
                <c:formatCode>0.0%</c:formatCode>
                <c:ptCount val="2"/>
                <c:pt idx="0" formatCode="0%">
                  <c:v>0.18</c:v>
                </c:pt>
                <c:pt idx="1">
                  <c:v>0.11799999999999999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E7-48B3-BB94-BEAD21375275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 15 діб</c:v>
                </c:pt>
              </c:strCache>
            </c:strRef>
          </c:tx>
          <c:spPr>
            <a:pattFill prst="wdDnDiag">
              <a:fgClr>
                <a:schemeClr val="tx2"/>
              </a:fgClr>
              <a:bgClr>
                <a:srgbClr val="FFC000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Аркуш1!$A$2:$A$3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Аркуш1!$C$2:$C$3</c:f>
              <c:numCache>
                <c:formatCode>0.0%</c:formatCode>
                <c:ptCount val="2"/>
                <c:pt idx="0" formatCode="0%">
                  <c:v>0.73</c:v>
                </c:pt>
                <c:pt idx="1">
                  <c:v>0.64700000000000002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E7-48B3-BB94-BEAD21375275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до 5 діб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Аркуш1!$A$2:$A$3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Аркуш1!$D$2:$D$3</c:f>
              <c:numCache>
                <c:formatCode>0.0%</c:formatCode>
                <c:ptCount val="2"/>
                <c:pt idx="0" formatCode="0%">
                  <c:v>0.09</c:v>
                </c:pt>
                <c:pt idx="1">
                  <c:v>0.23499999999999999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E7-48B3-BB94-BEAD2137527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67460736"/>
        <c:axId val="367466560"/>
      </c:barChart>
      <c:catAx>
        <c:axId val="36746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67466560"/>
        <c:crosses val="autoZero"/>
        <c:auto val="1"/>
        <c:lblAlgn val="ctr"/>
        <c:lblOffset val="100"/>
        <c:noMultiLvlLbl val="0"/>
      </c:catAx>
      <c:valAx>
        <c:axId val="367466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67460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769958442694659"/>
          <c:y val="0.8422757223029016"/>
          <c:w val="0.27072634149897923"/>
          <c:h val="0.140253111339085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1</Pages>
  <Words>7352</Words>
  <Characters>4192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2020-07-10T10:44:00Z</cp:lastPrinted>
  <dcterms:created xsi:type="dcterms:W3CDTF">2019-07-09T07:23:00Z</dcterms:created>
  <dcterms:modified xsi:type="dcterms:W3CDTF">2020-07-10T10:45:00Z</dcterms:modified>
</cp:coreProperties>
</file>